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3641B" w14:textId="3BA01AC6" w:rsidR="007C1F3B" w:rsidRPr="00AA566D" w:rsidRDefault="007C1F3B" w:rsidP="007C1F3B">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noProof/>
          <w:sz w:val="24"/>
          <w:szCs w:val="24"/>
          <w:lang w:val="en-US"/>
        </w:rPr>
        <w:drawing>
          <wp:anchor distT="0" distB="0" distL="114300" distR="114300" simplePos="0" relativeHeight="251658240" behindDoc="0" locked="0" layoutInCell="1" allowOverlap="1" wp14:anchorId="614DEA8D" wp14:editId="195B787A">
            <wp:simplePos x="0" y="0"/>
            <wp:positionH relativeFrom="margin">
              <wp:align>left</wp:align>
            </wp:positionH>
            <wp:positionV relativeFrom="paragraph">
              <wp:posOffset>-347345</wp:posOffset>
            </wp:positionV>
            <wp:extent cx="1000125" cy="58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G4 Logo_final_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580430"/>
                    </a:xfrm>
                    <a:prstGeom prst="rect">
                      <a:avLst/>
                    </a:prstGeom>
                  </pic:spPr>
                </pic:pic>
              </a:graphicData>
            </a:graphic>
          </wp:anchor>
        </w:drawing>
      </w:r>
    </w:p>
    <w:p w14:paraId="297EBFEF" w14:textId="77777777" w:rsidR="007C1F3B" w:rsidRPr="00AA566D" w:rsidRDefault="007C1F3B" w:rsidP="007C1F3B">
      <w:pPr>
        <w:spacing w:after="0" w:line="240" w:lineRule="auto"/>
        <w:jc w:val="both"/>
        <w:rPr>
          <w:rFonts w:asciiTheme="majorHAnsi" w:hAnsiTheme="majorHAnsi" w:cs="Times New Roman"/>
          <w:sz w:val="24"/>
          <w:szCs w:val="24"/>
          <w:lang w:val="en-US"/>
        </w:rPr>
      </w:pPr>
    </w:p>
    <w:p w14:paraId="048792C6" w14:textId="01BFCF99" w:rsidR="007C1F3B" w:rsidRPr="00AA566D" w:rsidRDefault="007C1F3B" w:rsidP="007C1F3B">
      <w:pPr>
        <w:tabs>
          <w:tab w:val="left" w:pos="426"/>
        </w:tabs>
        <w:spacing w:after="0" w:line="240" w:lineRule="auto"/>
        <w:ind w:left="142"/>
        <w:jc w:val="center"/>
        <w:rPr>
          <w:rFonts w:asciiTheme="majorHAnsi" w:hAnsiTheme="majorHAnsi" w:cs="Times New Roman"/>
          <w:b/>
          <w:color w:val="2E74B5" w:themeColor="accent1" w:themeShade="BF"/>
          <w:sz w:val="28"/>
          <w:szCs w:val="24"/>
          <w:u w:val="single"/>
          <w:lang w:val="en-US"/>
        </w:rPr>
      </w:pPr>
      <w:r w:rsidRPr="00AA566D">
        <w:rPr>
          <w:rFonts w:asciiTheme="majorHAnsi" w:hAnsiTheme="majorHAnsi" w:cs="Times New Roman"/>
          <w:b/>
          <w:color w:val="2E74B5" w:themeColor="accent1" w:themeShade="BF"/>
          <w:sz w:val="28"/>
          <w:szCs w:val="24"/>
          <w:u w:val="single"/>
          <w:lang w:val="en-US"/>
        </w:rPr>
        <w:t>Concept Note</w:t>
      </w:r>
    </w:p>
    <w:p w14:paraId="0C081D77" w14:textId="4F702DC7" w:rsidR="009578F9" w:rsidRPr="00AA566D" w:rsidRDefault="007C1F3B" w:rsidP="007C1F3B">
      <w:pPr>
        <w:tabs>
          <w:tab w:val="left" w:pos="426"/>
        </w:tabs>
        <w:spacing w:after="0" w:line="240" w:lineRule="auto"/>
        <w:ind w:left="142"/>
        <w:jc w:val="center"/>
        <w:rPr>
          <w:rFonts w:asciiTheme="majorHAnsi" w:hAnsiTheme="majorHAnsi" w:cs="Times New Roman"/>
          <w:b/>
          <w:color w:val="2E74B5" w:themeColor="accent1" w:themeShade="BF"/>
          <w:sz w:val="28"/>
          <w:szCs w:val="24"/>
          <w:u w:val="single"/>
          <w:lang w:val="en-US"/>
        </w:rPr>
      </w:pPr>
      <w:r w:rsidRPr="00AA566D">
        <w:rPr>
          <w:rFonts w:asciiTheme="majorHAnsi" w:hAnsiTheme="majorHAnsi" w:cs="Times New Roman"/>
          <w:b/>
          <w:color w:val="2E74B5" w:themeColor="accent1" w:themeShade="BF"/>
          <w:sz w:val="28"/>
          <w:szCs w:val="24"/>
          <w:u w:val="single"/>
          <w:lang w:val="en-US"/>
        </w:rPr>
        <w:t>Terms of Reference for a study on the relevance of Education and training systems in West and Central African countries</w:t>
      </w:r>
    </w:p>
    <w:p w14:paraId="3712920E" w14:textId="2626AECA" w:rsidR="007C1F3B" w:rsidRPr="00AA566D" w:rsidRDefault="007C1F3B" w:rsidP="007C1F3B">
      <w:pPr>
        <w:spacing w:after="0" w:line="240" w:lineRule="auto"/>
        <w:jc w:val="center"/>
        <w:rPr>
          <w:rFonts w:asciiTheme="majorHAnsi" w:hAnsiTheme="majorHAnsi" w:cs="Times New Roman"/>
          <w:sz w:val="24"/>
          <w:szCs w:val="24"/>
          <w:lang w:val="en-US"/>
        </w:rPr>
      </w:pPr>
    </w:p>
    <w:p w14:paraId="350C4916" w14:textId="77777777" w:rsidR="007C1F3B" w:rsidRPr="00AA566D" w:rsidRDefault="007C1F3B" w:rsidP="007C1F3B">
      <w:pPr>
        <w:spacing w:after="0" w:line="240" w:lineRule="auto"/>
        <w:jc w:val="center"/>
        <w:rPr>
          <w:rFonts w:asciiTheme="majorHAnsi" w:hAnsiTheme="majorHAnsi" w:cs="Times New Roman"/>
          <w:sz w:val="24"/>
          <w:szCs w:val="24"/>
          <w:lang w:val="en-US"/>
        </w:rPr>
      </w:pPr>
    </w:p>
    <w:p w14:paraId="2E5F1FB8" w14:textId="77777777" w:rsidR="009578F9" w:rsidRPr="00AA566D" w:rsidRDefault="009578F9" w:rsidP="002C0BC3">
      <w:pPr>
        <w:numPr>
          <w:ilvl w:val="0"/>
          <w:numId w:val="2"/>
        </w:numPr>
        <w:tabs>
          <w:tab w:val="left" w:pos="709"/>
        </w:tabs>
        <w:spacing w:after="0" w:line="240" w:lineRule="auto"/>
        <w:ind w:left="142" w:firstLine="0"/>
        <w:jc w:val="both"/>
        <w:rPr>
          <w:rFonts w:asciiTheme="majorHAnsi" w:hAnsiTheme="majorHAnsi" w:cs="Times New Roman"/>
          <w:b/>
          <w:color w:val="2E74B5" w:themeColor="accent1" w:themeShade="BF"/>
          <w:sz w:val="24"/>
          <w:szCs w:val="24"/>
          <w:u w:val="single"/>
          <w:lang w:val="en-US"/>
        </w:rPr>
      </w:pPr>
      <w:r w:rsidRPr="00AA566D">
        <w:rPr>
          <w:rFonts w:asciiTheme="majorHAnsi" w:hAnsiTheme="majorHAnsi" w:cs="Times New Roman"/>
          <w:b/>
          <w:color w:val="2E74B5" w:themeColor="accent1" w:themeShade="BF"/>
          <w:sz w:val="24"/>
          <w:szCs w:val="24"/>
          <w:u w:val="single"/>
          <w:lang w:val="en-US"/>
        </w:rPr>
        <w:t>General Rationale</w:t>
      </w:r>
    </w:p>
    <w:p w14:paraId="1250A63F" w14:textId="77777777" w:rsidR="009578F9" w:rsidRPr="00AA566D" w:rsidRDefault="009578F9" w:rsidP="00D2587D">
      <w:pPr>
        <w:spacing w:after="0" w:line="240" w:lineRule="auto"/>
        <w:jc w:val="both"/>
        <w:rPr>
          <w:rFonts w:asciiTheme="majorHAnsi" w:hAnsiTheme="majorHAnsi" w:cs="Times New Roman"/>
          <w:sz w:val="24"/>
          <w:szCs w:val="24"/>
        </w:rPr>
      </w:pPr>
    </w:p>
    <w:p w14:paraId="3B066E8B" w14:textId="77777777" w:rsidR="009578F9" w:rsidRPr="00AA566D" w:rsidRDefault="009578F9" w:rsidP="00D2587D">
      <w:pPr>
        <w:spacing w:after="0" w:line="240" w:lineRule="auto"/>
        <w:jc w:val="both"/>
        <w:rPr>
          <w:rFonts w:asciiTheme="majorHAnsi" w:hAnsiTheme="majorHAnsi" w:cs="Times New Roman"/>
          <w:i/>
          <w:color w:val="00B0F0"/>
          <w:sz w:val="24"/>
          <w:szCs w:val="24"/>
          <w:lang w:val="en-US"/>
        </w:rPr>
      </w:pPr>
      <w:r w:rsidRPr="00AA566D">
        <w:rPr>
          <w:rFonts w:asciiTheme="majorHAnsi" w:hAnsiTheme="majorHAnsi" w:cs="Times New Roman"/>
          <w:i/>
          <w:color w:val="00B0F0"/>
          <w:sz w:val="24"/>
          <w:szCs w:val="24"/>
          <w:lang w:val="en-US"/>
        </w:rPr>
        <w:t>What we know about education and employment globally</w:t>
      </w:r>
    </w:p>
    <w:p w14:paraId="00CB920F" w14:textId="77777777" w:rsidR="009578F9" w:rsidRPr="00AA566D" w:rsidRDefault="009578F9" w:rsidP="00D2587D">
      <w:pPr>
        <w:spacing w:after="0" w:line="240" w:lineRule="auto"/>
        <w:jc w:val="both"/>
        <w:rPr>
          <w:rFonts w:asciiTheme="majorHAnsi" w:hAnsiTheme="majorHAnsi" w:cs="Times New Roman"/>
          <w:sz w:val="24"/>
          <w:szCs w:val="24"/>
          <w:lang w:val="en-US"/>
        </w:rPr>
      </w:pPr>
    </w:p>
    <w:p w14:paraId="1CAEE879" w14:textId="39BDEDF8" w:rsidR="009578F9" w:rsidRPr="00AA566D" w:rsidRDefault="009578F9"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Education is a human right and an important driver of economic development. Educated societies can spur economic growth by promoting innovation and facilitating the adoption of new technologies, thereby raising produc</w:t>
      </w:r>
      <w:bookmarkStart w:id="0" w:name="_GoBack"/>
      <w:bookmarkEnd w:id="0"/>
      <w:r w:rsidRPr="00AA566D">
        <w:rPr>
          <w:rFonts w:asciiTheme="majorHAnsi" w:hAnsiTheme="majorHAnsi" w:cs="Times New Roman"/>
          <w:sz w:val="24"/>
          <w:szCs w:val="24"/>
          <w:lang w:val="en-US"/>
        </w:rPr>
        <w:t>tivity and economic output. At the individual level, good quality education would in principle equip people with the skills they need to join the labo</w:t>
      </w:r>
      <w:r w:rsidR="00AA566D" w:rsidRPr="00AA566D">
        <w:rPr>
          <w:rFonts w:asciiTheme="majorHAnsi" w:hAnsiTheme="majorHAnsi" w:cs="Times New Roman"/>
          <w:sz w:val="24"/>
          <w:szCs w:val="24"/>
          <w:lang w:val="en-US"/>
        </w:rPr>
        <w:t>u</w:t>
      </w:r>
      <w:r w:rsidRPr="00AA566D">
        <w:rPr>
          <w:rFonts w:asciiTheme="majorHAnsi" w:hAnsiTheme="majorHAnsi" w:cs="Times New Roman"/>
          <w:sz w:val="24"/>
          <w:szCs w:val="24"/>
          <w:lang w:val="en-US"/>
        </w:rPr>
        <w:t>r market and ensure adequate employment and income opportunities. On the other hand, these relationships are hardly straightforward.</w:t>
      </w:r>
    </w:p>
    <w:p w14:paraId="7D192513" w14:textId="77777777" w:rsidR="009578F9" w:rsidRPr="00AA566D" w:rsidRDefault="009578F9" w:rsidP="00D2587D">
      <w:pPr>
        <w:spacing w:after="0" w:line="240" w:lineRule="auto"/>
        <w:jc w:val="both"/>
        <w:rPr>
          <w:rFonts w:asciiTheme="majorHAnsi" w:hAnsiTheme="majorHAnsi" w:cs="Times New Roman"/>
          <w:sz w:val="24"/>
          <w:szCs w:val="24"/>
          <w:lang w:val="en-US"/>
        </w:rPr>
      </w:pPr>
    </w:p>
    <w:p w14:paraId="48B03B4E" w14:textId="1EBB81B2" w:rsidR="009578F9" w:rsidRPr="00AA566D" w:rsidRDefault="009578F9"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Although in certain economic contexts higher levels of education are associated with better opportunities of employment and higher income, more years of education do not</w:t>
      </w:r>
      <w:r w:rsidR="007C1F3B" w:rsidRPr="00AA566D">
        <w:rPr>
          <w:rFonts w:asciiTheme="majorHAnsi" w:hAnsiTheme="majorHAnsi" w:cs="Times New Roman"/>
          <w:sz w:val="24"/>
          <w:szCs w:val="24"/>
          <w:lang w:val="en-US"/>
        </w:rPr>
        <w:t xml:space="preserve"> necessarily</w:t>
      </w:r>
      <w:r w:rsidRPr="00AA566D">
        <w:rPr>
          <w:rFonts w:asciiTheme="majorHAnsi" w:hAnsiTheme="majorHAnsi" w:cs="Times New Roman"/>
          <w:sz w:val="24"/>
          <w:szCs w:val="24"/>
          <w:lang w:val="en-US"/>
        </w:rPr>
        <w:t xml:space="preserve"> guarantee these positive outcomes. Much depends on the type and the quality of the education acquired and a combination of other factors outside education, such as the macroeconomic conditions, labo</w:t>
      </w:r>
      <w:r w:rsidR="007C1F3B" w:rsidRPr="00AA566D">
        <w:rPr>
          <w:rFonts w:asciiTheme="majorHAnsi" w:hAnsiTheme="majorHAnsi" w:cs="Times New Roman"/>
          <w:sz w:val="24"/>
          <w:szCs w:val="24"/>
          <w:lang w:val="en-US"/>
        </w:rPr>
        <w:t>u</w:t>
      </w:r>
      <w:r w:rsidRPr="00AA566D">
        <w:rPr>
          <w:rFonts w:asciiTheme="majorHAnsi" w:hAnsiTheme="majorHAnsi" w:cs="Times New Roman"/>
          <w:sz w:val="24"/>
          <w:szCs w:val="24"/>
          <w:lang w:val="en-US"/>
        </w:rPr>
        <w:t>r market institutions, employment policies and programs, local labo</w:t>
      </w:r>
      <w:r w:rsidR="007C1F3B" w:rsidRPr="00AA566D">
        <w:rPr>
          <w:rFonts w:asciiTheme="majorHAnsi" w:hAnsiTheme="majorHAnsi" w:cs="Times New Roman"/>
          <w:sz w:val="24"/>
          <w:szCs w:val="24"/>
          <w:lang w:val="en-US"/>
        </w:rPr>
        <w:t>u</w:t>
      </w:r>
      <w:r w:rsidRPr="00AA566D">
        <w:rPr>
          <w:rFonts w:asciiTheme="majorHAnsi" w:hAnsiTheme="majorHAnsi" w:cs="Times New Roman"/>
          <w:sz w:val="24"/>
          <w:szCs w:val="24"/>
          <w:lang w:val="en-US"/>
        </w:rPr>
        <w:t xml:space="preserve">r market dynamics, social, cultural or political barriers, etc. </w:t>
      </w:r>
      <w:r w:rsidR="00844956" w:rsidRPr="00AA566D">
        <w:rPr>
          <w:rFonts w:asciiTheme="majorHAnsi" w:hAnsiTheme="majorHAnsi" w:cs="Times New Roman"/>
          <w:sz w:val="24"/>
          <w:szCs w:val="24"/>
          <w:lang w:val="en-US"/>
        </w:rPr>
        <w:t>Consequently</w:t>
      </w:r>
      <w:r w:rsidRPr="00AA566D">
        <w:rPr>
          <w:rFonts w:asciiTheme="majorHAnsi" w:hAnsiTheme="majorHAnsi" w:cs="Times New Roman"/>
          <w:sz w:val="24"/>
          <w:szCs w:val="24"/>
          <w:lang w:val="en-US"/>
        </w:rPr>
        <w:t xml:space="preserve">, gains in educational attainment </w:t>
      </w:r>
      <w:r w:rsidR="007C1F3B" w:rsidRPr="00AA566D">
        <w:rPr>
          <w:rFonts w:asciiTheme="majorHAnsi" w:hAnsiTheme="majorHAnsi" w:cs="Times New Roman"/>
          <w:sz w:val="24"/>
          <w:szCs w:val="24"/>
          <w:lang w:val="en-US"/>
        </w:rPr>
        <w:t>do not</w:t>
      </w:r>
      <w:r w:rsidRPr="00AA566D">
        <w:rPr>
          <w:rFonts w:asciiTheme="majorHAnsi" w:hAnsiTheme="majorHAnsi" w:cs="Times New Roman"/>
          <w:sz w:val="24"/>
          <w:szCs w:val="24"/>
          <w:lang w:val="en-US"/>
        </w:rPr>
        <w:t xml:space="preserve"> necessarily </w:t>
      </w:r>
      <w:r w:rsidR="007C1F3B" w:rsidRPr="00AA566D">
        <w:rPr>
          <w:rFonts w:asciiTheme="majorHAnsi" w:hAnsiTheme="majorHAnsi" w:cs="Times New Roman"/>
          <w:sz w:val="24"/>
          <w:szCs w:val="24"/>
          <w:lang w:val="en-US"/>
        </w:rPr>
        <w:t>lead to</w:t>
      </w:r>
      <w:r w:rsidRPr="00AA566D">
        <w:rPr>
          <w:rFonts w:asciiTheme="majorHAnsi" w:hAnsiTheme="majorHAnsi" w:cs="Times New Roman"/>
          <w:sz w:val="24"/>
          <w:szCs w:val="24"/>
          <w:lang w:val="en-US"/>
        </w:rPr>
        <w:t xml:space="preserve"> improved labo</w:t>
      </w:r>
      <w:r w:rsidR="007C1F3B" w:rsidRPr="00AA566D">
        <w:rPr>
          <w:rFonts w:asciiTheme="majorHAnsi" w:hAnsiTheme="majorHAnsi" w:cs="Times New Roman"/>
          <w:sz w:val="24"/>
          <w:szCs w:val="24"/>
          <w:lang w:val="en-US"/>
        </w:rPr>
        <w:t>u</w:t>
      </w:r>
      <w:r w:rsidRPr="00AA566D">
        <w:rPr>
          <w:rFonts w:asciiTheme="majorHAnsi" w:hAnsiTheme="majorHAnsi" w:cs="Times New Roman"/>
          <w:sz w:val="24"/>
          <w:szCs w:val="24"/>
          <w:lang w:val="en-US"/>
        </w:rPr>
        <w:t xml:space="preserve">r market outcomes, including for youth. Youth unemployment rates are consistently higher than adult unemployment rates despite their increasing educational attainment. </w:t>
      </w:r>
    </w:p>
    <w:p w14:paraId="2BE00910" w14:textId="77777777" w:rsidR="009578F9" w:rsidRPr="00AA566D" w:rsidRDefault="009578F9" w:rsidP="00D2587D">
      <w:pPr>
        <w:spacing w:after="0" w:line="240" w:lineRule="auto"/>
        <w:jc w:val="both"/>
        <w:rPr>
          <w:rFonts w:asciiTheme="majorHAnsi" w:hAnsiTheme="majorHAnsi" w:cs="Times New Roman"/>
          <w:sz w:val="24"/>
          <w:szCs w:val="24"/>
          <w:lang w:val="en-US"/>
        </w:rPr>
      </w:pPr>
    </w:p>
    <w:p w14:paraId="4CC8699A" w14:textId="16DA57A1" w:rsidR="009578F9" w:rsidRPr="00AA566D" w:rsidRDefault="009578F9"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Youth are also overrepresented among the working poor. The ILO estimates that over 40 per cent of the world’s active youth population are either unemployed or living in</w:t>
      </w:r>
      <w:r w:rsidR="000F03C9" w:rsidRPr="00AA566D">
        <w:rPr>
          <w:rFonts w:asciiTheme="majorHAnsi" w:hAnsiTheme="majorHAnsi" w:cs="Times New Roman"/>
          <w:sz w:val="24"/>
          <w:szCs w:val="24"/>
          <w:lang w:val="en-US"/>
        </w:rPr>
        <w:t xml:space="preserve"> poverty despite being employed</w:t>
      </w:r>
      <w:r w:rsidRPr="00AA566D">
        <w:rPr>
          <w:rFonts w:asciiTheme="majorHAnsi" w:hAnsiTheme="majorHAnsi" w:cs="Times New Roman"/>
          <w:sz w:val="24"/>
          <w:szCs w:val="24"/>
          <w:lang w:val="en-US"/>
        </w:rPr>
        <w:t>. With very difficult school to work transitions, many young people become discouraged and disengage altogether. Surveys carried out by the ILO in 28 countries show that about 25 per cent of youth between 15 and 29 years are neither employed, nor in education or training (NEET).</w:t>
      </w:r>
    </w:p>
    <w:p w14:paraId="3F881B07" w14:textId="77777777" w:rsidR="009578F9" w:rsidRPr="00AA566D" w:rsidRDefault="009578F9"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 </w:t>
      </w:r>
    </w:p>
    <w:p w14:paraId="6381AC77" w14:textId="71A8194E" w:rsidR="009578F9" w:rsidRPr="00AA566D" w:rsidRDefault="009578F9"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The level and kind of skills obtained are central in a knowledge-driven economy. In an environment of rapid</w:t>
      </w:r>
      <w:r w:rsidR="007C1F3B" w:rsidRPr="00AA566D">
        <w:rPr>
          <w:rFonts w:asciiTheme="majorHAnsi" w:hAnsiTheme="majorHAnsi" w:cs="Times New Roman"/>
          <w:sz w:val="24"/>
          <w:szCs w:val="24"/>
          <w:lang w:val="en-US"/>
        </w:rPr>
        <w:t>ly</w:t>
      </w:r>
      <w:r w:rsidRPr="00AA566D">
        <w:rPr>
          <w:rFonts w:asciiTheme="majorHAnsi" w:hAnsiTheme="majorHAnsi" w:cs="Times New Roman"/>
          <w:sz w:val="24"/>
          <w:szCs w:val="24"/>
          <w:lang w:val="en-US"/>
        </w:rPr>
        <w:t xml:space="preserve"> chang</w:t>
      </w:r>
      <w:r w:rsidR="007C1F3B" w:rsidRPr="00AA566D">
        <w:rPr>
          <w:rFonts w:asciiTheme="majorHAnsi" w:hAnsiTheme="majorHAnsi" w:cs="Times New Roman"/>
          <w:sz w:val="24"/>
          <w:szCs w:val="24"/>
          <w:lang w:val="en-US"/>
        </w:rPr>
        <w:t>ing</w:t>
      </w:r>
      <w:r w:rsidRPr="00AA566D">
        <w:rPr>
          <w:rFonts w:asciiTheme="majorHAnsi" w:hAnsiTheme="majorHAnsi" w:cs="Times New Roman"/>
          <w:sz w:val="24"/>
          <w:szCs w:val="24"/>
          <w:lang w:val="en-US"/>
        </w:rPr>
        <w:t xml:space="preserve"> skills </w:t>
      </w:r>
      <w:r w:rsidR="007C1F3B" w:rsidRPr="00AA566D">
        <w:rPr>
          <w:rFonts w:asciiTheme="majorHAnsi" w:hAnsiTheme="majorHAnsi" w:cs="Times New Roman"/>
          <w:sz w:val="24"/>
          <w:szCs w:val="24"/>
          <w:lang w:val="en-US"/>
        </w:rPr>
        <w:t>requirements</w:t>
      </w:r>
      <w:r w:rsidRPr="00AA566D">
        <w:rPr>
          <w:rFonts w:asciiTheme="majorHAnsi" w:hAnsiTheme="majorHAnsi" w:cs="Times New Roman"/>
          <w:sz w:val="24"/>
          <w:szCs w:val="24"/>
          <w:lang w:val="en-US"/>
        </w:rPr>
        <w:t xml:space="preserve"> for employment, education and training systems are compelled to equip young people with cognitive and non-cognitive skills that allow for increased adaptability to new technologies and work processes. Demographic growth and an unfinished agenda of expansion of basic levels of education in some regions add to the complexity of this challenge. It is particularly the case for </w:t>
      </w:r>
      <w:r w:rsidR="007C1F3B" w:rsidRPr="00AA566D">
        <w:rPr>
          <w:rFonts w:asciiTheme="majorHAnsi" w:hAnsiTheme="majorHAnsi" w:cs="Times New Roman"/>
          <w:sz w:val="24"/>
          <w:szCs w:val="24"/>
          <w:lang w:val="en-US"/>
        </w:rPr>
        <w:t xml:space="preserve">the </w:t>
      </w:r>
      <w:r w:rsidRPr="00AA566D">
        <w:rPr>
          <w:rFonts w:asciiTheme="majorHAnsi" w:hAnsiTheme="majorHAnsi" w:cs="Times New Roman"/>
          <w:sz w:val="24"/>
          <w:szCs w:val="24"/>
          <w:lang w:val="en-US"/>
        </w:rPr>
        <w:t>West and Central Africa</w:t>
      </w:r>
      <w:r w:rsidR="007C1F3B" w:rsidRPr="00AA566D">
        <w:rPr>
          <w:rFonts w:asciiTheme="majorHAnsi" w:hAnsiTheme="majorHAnsi" w:cs="Times New Roman"/>
          <w:sz w:val="24"/>
          <w:szCs w:val="24"/>
          <w:lang w:val="en-US"/>
        </w:rPr>
        <w:t>n</w:t>
      </w:r>
      <w:r w:rsidRPr="00AA566D">
        <w:rPr>
          <w:rFonts w:asciiTheme="majorHAnsi" w:hAnsiTheme="majorHAnsi" w:cs="Times New Roman"/>
          <w:sz w:val="24"/>
          <w:szCs w:val="24"/>
          <w:lang w:val="en-US"/>
        </w:rPr>
        <w:t xml:space="preserve"> </w:t>
      </w:r>
      <w:r w:rsidR="007C1F3B" w:rsidRPr="00AA566D">
        <w:rPr>
          <w:rFonts w:asciiTheme="majorHAnsi" w:hAnsiTheme="majorHAnsi" w:cs="Times New Roman"/>
          <w:sz w:val="24"/>
          <w:szCs w:val="24"/>
          <w:lang w:val="en-US"/>
        </w:rPr>
        <w:t>r</w:t>
      </w:r>
      <w:r w:rsidRPr="00AA566D">
        <w:rPr>
          <w:rFonts w:asciiTheme="majorHAnsi" w:hAnsiTheme="majorHAnsi" w:cs="Times New Roman"/>
          <w:sz w:val="24"/>
          <w:szCs w:val="24"/>
          <w:lang w:val="en-US"/>
        </w:rPr>
        <w:t>egion.</w:t>
      </w:r>
    </w:p>
    <w:p w14:paraId="00C231AB" w14:textId="77777777" w:rsidR="009578F9" w:rsidRPr="00AA566D" w:rsidRDefault="009578F9" w:rsidP="00D2587D">
      <w:pPr>
        <w:spacing w:after="0" w:line="240" w:lineRule="auto"/>
        <w:jc w:val="both"/>
        <w:rPr>
          <w:rFonts w:asciiTheme="majorHAnsi" w:hAnsiTheme="majorHAnsi" w:cs="Times New Roman"/>
          <w:sz w:val="24"/>
          <w:szCs w:val="24"/>
          <w:lang w:val="en-US"/>
        </w:rPr>
      </w:pPr>
    </w:p>
    <w:p w14:paraId="34F817D5" w14:textId="0577E8FF" w:rsidR="009578F9" w:rsidRPr="00AA566D" w:rsidRDefault="009578F9" w:rsidP="00D2587D">
      <w:pPr>
        <w:spacing w:after="0" w:line="240" w:lineRule="auto"/>
        <w:jc w:val="both"/>
        <w:rPr>
          <w:rFonts w:asciiTheme="majorHAnsi" w:hAnsiTheme="majorHAnsi" w:cs="Times New Roman"/>
          <w:i/>
          <w:color w:val="00B0F0"/>
          <w:sz w:val="24"/>
          <w:szCs w:val="24"/>
          <w:lang w:val="en-US"/>
        </w:rPr>
      </w:pPr>
      <w:r w:rsidRPr="00AA566D">
        <w:rPr>
          <w:rFonts w:asciiTheme="majorHAnsi" w:hAnsiTheme="majorHAnsi" w:cs="Times New Roman"/>
          <w:i/>
          <w:color w:val="00B0F0"/>
          <w:sz w:val="24"/>
          <w:szCs w:val="24"/>
          <w:lang w:val="en-US"/>
        </w:rPr>
        <w:t xml:space="preserve">The particular situation of </w:t>
      </w:r>
      <w:r w:rsidR="007C1F3B" w:rsidRPr="00AA566D">
        <w:rPr>
          <w:rFonts w:asciiTheme="majorHAnsi" w:hAnsiTheme="majorHAnsi" w:cs="Times New Roman"/>
          <w:i/>
          <w:color w:val="00B0F0"/>
          <w:sz w:val="24"/>
          <w:szCs w:val="24"/>
          <w:lang w:val="en-US"/>
        </w:rPr>
        <w:t xml:space="preserve">the </w:t>
      </w:r>
      <w:r w:rsidRPr="00AA566D">
        <w:rPr>
          <w:rFonts w:asciiTheme="majorHAnsi" w:hAnsiTheme="majorHAnsi" w:cs="Times New Roman"/>
          <w:i/>
          <w:color w:val="00B0F0"/>
          <w:sz w:val="24"/>
          <w:szCs w:val="24"/>
          <w:lang w:val="en-US"/>
        </w:rPr>
        <w:t>W</w:t>
      </w:r>
      <w:r w:rsidR="006A373A" w:rsidRPr="00AA566D">
        <w:rPr>
          <w:rFonts w:asciiTheme="majorHAnsi" w:hAnsiTheme="majorHAnsi" w:cs="Times New Roman"/>
          <w:i/>
          <w:color w:val="00B0F0"/>
          <w:sz w:val="24"/>
          <w:szCs w:val="24"/>
          <w:lang w:val="en-US"/>
        </w:rPr>
        <w:t xml:space="preserve">est and </w:t>
      </w:r>
      <w:r w:rsidRPr="00AA566D">
        <w:rPr>
          <w:rFonts w:asciiTheme="majorHAnsi" w:hAnsiTheme="majorHAnsi" w:cs="Times New Roman"/>
          <w:i/>
          <w:color w:val="00B0F0"/>
          <w:sz w:val="24"/>
          <w:szCs w:val="24"/>
          <w:lang w:val="en-US"/>
        </w:rPr>
        <w:t>C</w:t>
      </w:r>
      <w:r w:rsidR="006A373A" w:rsidRPr="00AA566D">
        <w:rPr>
          <w:rFonts w:asciiTheme="majorHAnsi" w:hAnsiTheme="majorHAnsi" w:cs="Times New Roman"/>
          <w:i/>
          <w:color w:val="00B0F0"/>
          <w:sz w:val="24"/>
          <w:szCs w:val="24"/>
          <w:lang w:val="en-US"/>
        </w:rPr>
        <w:t>entral</w:t>
      </w:r>
      <w:r w:rsidRPr="00AA566D">
        <w:rPr>
          <w:rFonts w:asciiTheme="majorHAnsi" w:hAnsiTheme="majorHAnsi" w:cs="Times New Roman"/>
          <w:i/>
          <w:color w:val="00B0F0"/>
          <w:sz w:val="24"/>
          <w:szCs w:val="24"/>
          <w:lang w:val="en-US"/>
        </w:rPr>
        <w:t xml:space="preserve"> Africa</w:t>
      </w:r>
      <w:r w:rsidR="007C1F3B" w:rsidRPr="00AA566D">
        <w:rPr>
          <w:rFonts w:asciiTheme="majorHAnsi" w:hAnsiTheme="majorHAnsi" w:cs="Times New Roman"/>
          <w:i/>
          <w:color w:val="00B0F0"/>
          <w:sz w:val="24"/>
          <w:szCs w:val="24"/>
          <w:lang w:val="en-US"/>
        </w:rPr>
        <w:t>n</w:t>
      </w:r>
      <w:r w:rsidRPr="00AA566D">
        <w:rPr>
          <w:rFonts w:asciiTheme="majorHAnsi" w:hAnsiTheme="majorHAnsi" w:cs="Times New Roman"/>
          <w:i/>
          <w:color w:val="00B0F0"/>
          <w:sz w:val="24"/>
          <w:szCs w:val="24"/>
          <w:lang w:val="en-US"/>
        </w:rPr>
        <w:t xml:space="preserve"> region: an extremely young population with education, training and employment issues.</w:t>
      </w:r>
    </w:p>
    <w:p w14:paraId="2CB70E63" w14:textId="77777777" w:rsidR="009578F9" w:rsidRPr="00AA566D" w:rsidRDefault="009578F9" w:rsidP="00D2587D">
      <w:pPr>
        <w:spacing w:after="0" w:line="240" w:lineRule="auto"/>
        <w:jc w:val="both"/>
        <w:rPr>
          <w:rFonts w:asciiTheme="majorHAnsi" w:hAnsiTheme="majorHAnsi" w:cs="Times New Roman"/>
          <w:i/>
          <w:color w:val="00B0F0"/>
          <w:sz w:val="24"/>
          <w:szCs w:val="24"/>
          <w:lang w:val="en-US"/>
        </w:rPr>
      </w:pPr>
    </w:p>
    <w:p w14:paraId="05AFC04D" w14:textId="737BF16F" w:rsidR="006A373A" w:rsidRPr="00AA566D" w:rsidRDefault="009578F9"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lastRenderedPageBreak/>
        <w:t xml:space="preserve">With </w:t>
      </w:r>
      <w:r w:rsidR="007C1F3B" w:rsidRPr="00AA566D">
        <w:rPr>
          <w:rFonts w:asciiTheme="majorHAnsi" w:hAnsiTheme="majorHAnsi" w:cs="Times New Roman"/>
          <w:sz w:val="24"/>
          <w:szCs w:val="24"/>
          <w:lang w:val="en-US"/>
        </w:rPr>
        <w:t xml:space="preserve">approximately </w:t>
      </w:r>
      <w:r w:rsidRPr="00AA566D">
        <w:rPr>
          <w:rFonts w:asciiTheme="majorHAnsi" w:hAnsiTheme="majorHAnsi" w:cs="Times New Roman"/>
          <w:sz w:val="24"/>
          <w:szCs w:val="24"/>
          <w:lang w:val="en-US"/>
        </w:rPr>
        <w:t>two third of the population under 25 years</w:t>
      </w:r>
      <w:r w:rsidR="00DC3CF3" w:rsidRPr="00AA566D">
        <w:rPr>
          <w:rFonts w:asciiTheme="majorHAnsi" w:hAnsiTheme="majorHAnsi" w:cs="Times New Roman"/>
          <w:sz w:val="24"/>
          <w:szCs w:val="24"/>
          <w:lang w:val="en-US"/>
        </w:rPr>
        <w:t xml:space="preserve"> of age</w:t>
      </w:r>
      <w:r w:rsidRPr="00AA566D">
        <w:rPr>
          <w:rStyle w:val="FootnoteReference"/>
          <w:rFonts w:asciiTheme="majorHAnsi" w:hAnsiTheme="majorHAnsi" w:cs="Times New Roman"/>
          <w:sz w:val="24"/>
          <w:szCs w:val="24"/>
          <w:lang w:val="en-US"/>
        </w:rPr>
        <w:footnoteReference w:id="1"/>
      </w:r>
      <w:r w:rsidRPr="00AA566D">
        <w:rPr>
          <w:rFonts w:asciiTheme="majorHAnsi" w:hAnsiTheme="majorHAnsi" w:cs="Times New Roman"/>
          <w:sz w:val="24"/>
          <w:szCs w:val="24"/>
          <w:lang w:val="en-US"/>
        </w:rPr>
        <w:t>, sub-Saharan Africa, and more specifically West</w:t>
      </w:r>
      <w:r w:rsidR="007C1F3B" w:rsidRPr="00AA566D">
        <w:rPr>
          <w:rFonts w:asciiTheme="majorHAnsi" w:hAnsiTheme="majorHAnsi" w:cs="Times New Roman"/>
          <w:sz w:val="24"/>
          <w:szCs w:val="24"/>
          <w:lang w:val="en-US"/>
        </w:rPr>
        <w:t xml:space="preserve"> and</w:t>
      </w:r>
      <w:r w:rsidR="00DC3CF3" w:rsidRPr="00AA566D">
        <w:rPr>
          <w:rFonts w:asciiTheme="majorHAnsi" w:hAnsiTheme="majorHAnsi" w:cs="Times New Roman"/>
          <w:sz w:val="24"/>
          <w:szCs w:val="24"/>
          <w:lang w:val="en-US"/>
        </w:rPr>
        <w:t xml:space="preserve"> </w:t>
      </w:r>
      <w:r w:rsidRPr="00AA566D">
        <w:rPr>
          <w:rFonts w:asciiTheme="majorHAnsi" w:hAnsiTheme="majorHAnsi" w:cs="Times New Roman"/>
          <w:sz w:val="24"/>
          <w:szCs w:val="24"/>
          <w:lang w:val="en-US"/>
        </w:rPr>
        <w:t>Central Africa</w:t>
      </w:r>
      <w:r w:rsidR="007C1F3B" w:rsidRPr="00AA566D">
        <w:rPr>
          <w:rFonts w:asciiTheme="majorHAnsi" w:hAnsiTheme="majorHAnsi" w:cs="Times New Roman"/>
          <w:sz w:val="24"/>
          <w:szCs w:val="24"/>
          <w:lang w:val="en-US"/>
        </w:rPr>
        <w:t>,</w:t>
      </w:r>
      <w:r w:rsidRPr="00AA566D">
        <w:rPr>
          <w:rFonts w:asciiTheme="majorHAnsi" w:hAnsiTheme="majorHAnsi" w:cs="Times New Roman"/>
          <w:sz w:val="24"/>
          <w:szCs w:val="24"/>
          <w:lang w:val="en-US"/>
        </w:rPr>
        <w:t xml:space="preserve"> are </w:t>
      </w:r>
      <w:r w:rsidR="00DC3CF3" w:rsidRPr="00AA566D">
        <w:rPr>
          <w:rFonts w:asciiTheme="majorHAnsi" w:hAnsiTheme="majorHAnsi" w:cs="Times New Roman"/>
          <w:sz w:val="24"/>
          <w:szCs w:val="24"/>
          <w:lang w:val="en-US"/>
        </w:rPr>
        <w:t>the regions of the world with</w:t>
      </w:r>
      <w:r w:rsidRPr="00AA566D">
        <w:rPr>
          <w:rFonts w:asciiTheme="majorHAnsi" w:hAnsiTheme="majorHAnsi" w:cs="Times New Roman"/>
          <w:sz w:val="24"/>
          <w:szCs w:val="24"/>
          <w:lang w:val="en-US"/>
        </w:rPr>
        <w:t xml:space="preserve"> extremely young population</w:t>
      </w:r>
      <w:r w:rsidR="00DC3CF3" w:rsidRPr="00AA566D">
        <w:rPr>
          <w:rFonts w:asciiTheme="majorHAnsi" w:hAnsiTheme="majorHAnsi" w:cs="Times New Roman"/>
          <w:sz w:val="24"/>
          <w:szCs w:val="24"/>
          <w:lang w:val="en-US"/>
        </w:rPr>
        <w:t>s</w:t>
      </w:r>
      <w:r w:rsidR="006A373A" w:rsidRPr="00AA566D">
        <w:rPr>
          <w:rFonts w:asciiTheme="majorHAnsi" w:hAnsiTheme="majorHAnsi" w:cs="Times New Roman"/>
          <w:sz w:val="24"/>
          <w:szCs w:val="24"/>
          <w:lang w:val="en-US"/>
        </w:rPr>
        <w:t xml:space="preserve"> (see </w:t>
      </w:r>
      <w:r w:rsidR="007C1F3B" w:rsidRPr="00AA566D">
        <w:rPr>
          <w:rFonts w:asciiTheme="majorHAnsi" w:hAnsiTheme="majorHAnsi" w:cs="Times New Roman"/>
          <w:sz w:val="24"/>
          <w:szCs w:val="24"/>
          <w:lang w:val="en-US"/>
        </w:rPr>
        <w:t>T</w:t>
      </w:r>
      <w:r w:rsidR="006A373A" w:rsidRPr="00AA566D">
        <w:rPr>
          <w:rFonts w:asciiTheme="majorHAnsi" w:hAnsiTheme="majorHAnsi" w:cs="Times New Roman"/>
          <w:sz w:val="24"/>
          <w:szCs w:val="24"/>
          <w:lang w:val="en-US"/>
        </w:rPr>
        <w:t>a</w:t>
      </w:r>
      <w:r w:rsidR="007C1F3B" w:rsidRPr="00AA566D">
        <w:rPr>
          <w:rFonts w:asciiTheme="majorHAnsi" w:hAnsiTheme="majorHAnsi" w:cs="Times New Roman"/>
          <w:sz w:val="24"/>
          <w:szCs w:val="24"/>
          <w:lang w:val="en-US"/>
        </w:rPr>
        <w:t>ble</w:t>
      </w:r>
      <w:r w:rsidRPr="00AA566D">
        <w:rPr>
          <w:rFonts w:asciiTheme="majorHAnsi" w:hAnsiTheme="majorHAnsi" w:cs="Times New Roman"/>
          <w:sz w:val="24"/>
          <w:szCs w:val="24"/>
          <w:lang w:val="en-US"/>
        </w:rPr>
        <w:t xml:space="preserve"> 1</w:t>
      </w:r>
      <w:r w:rsidR="006A373A" w:rsidRPr="00AA566D">
        <w:rPr>
          <w:rFonts w:asciiTheme="majorHAnsi" w:hAnsiTheme="majorHAnsi" w:cs="Times New Roman"/>
          <w:sz w:val="24"/>
          <w:szCs w:val="24"/>
          <w:lang w:val="en-US"/>
        </w:rPr>
        <w:t xml:space="preserve"> below</w:t>
      </w:r>
      <w:r w:rsidRPr="00AA566D">
        <w:rPr>
          <w:rFonts w:asciiTheme="majorHAnsi" w:hAnsiTheme="majorHAnsi" w:cs="Times New Roman"/>
          <w:sz w:val="24"/>
          <w:szCs w:val="24"/>
          <w:lang w:val="en-US"/>
        </w:rPr>
        <w:t xml:space="preserve">). </w:t>
      </w:r>
    </w:p>
    <w:p w14:paraId="1BD93ACF" w14:textId="77777777" w:rsidR="007C1F3B" w:rsidRPr="00AA566D" w:rsidRDefault="007C1F3B" w:rsidP="00D2587D">
      <w:pPr>
        <w:spacing w:after="0" w:line="240" w:lineRule="auto"/>
        <w:jc w:val="both"/>
        <w:rPr>
          <w:rFonts w:asciiTheme="majorHAnsi" w:hAnsiTheme="majorHAnsi" w:cs="Times New Roman"/>
          <w:i/>
          <w:color w:val="00B0F0"/>
          <w:lang w:val="en-US"/>
        </w:rPr>
      </w:pPr>
    </w:p>
    <w:p w14:paraId="035A8AA8" w14:textId="29A0DFBD" w:rsidR="006A373A" w:rsidRPr="00AA566D" w:rsidRDefault="006A373A" w:rsidP="002C0BC3">
      <w:pPr>
        <w:spacing w:after="120" w:line="240" w:lineRule="auto"/>
        <w:jc w:val="both"/>
        <w:rPr>
          <w:rFonts w:asciiTheme="majorHAnsi" w:hAnsiTheme="majorHAnsi" w:cs="Times New Roman"/>
          <w:i/>
          <w:color w:val="00B0F0"/>
          <w:lang w:val="en-US"/>
        </w:rPr>
      </w:pPr>
      <w:r w:rsidRPr="00AA566D">
        <w:rPr>
          <w:rFonts w:asciiTheme="majorHAnsi" w:hAnsiTheme="majorHAnsi" w:cs="Times New Roman"/>
          <w:i/>
          <w:color w:val="00B0F0"/>
          <w:lang w:val="en-US"/>
        </w:rPr>
        <w:t>Table 1: Demographic figures, Sub-Saharan Africa, Wes</w:t>
      </w:r>
      <w:r w:rsidR="002C0BC3">
        <w:rPr>
          <w:rFonts w:asciiTheme="majorHAnsi" w:hAnsiTheme="majorHAnsi" w:cs="Times New Roman"/>
          <w:i/>
          <w:color w:val="00B0F0"/>
          <w:lang w:val="en-US"/>
        </w:rPr>
        <w:t>t and Central Africa, and World</w:t>
      </w:r>
    </w:p>
    <w:tbl>
      <w:tblPr>
        <w:tblW w:w="8320" w:type="dxa"/>
        <w:jc w:val="center"/>
        <w:tblCellMar>
          <w:left w:w="70" w:type="dxa"/>
          <w:right w:w="70" w:type="dxa"/>
        </w:tblCellMar>
        <w:tblLook w:val="04A0" w:firstRow="1" w:lastRow="0" w:firstColumn="1" w:lastColumn="0" w:noHBand="0" w:noVBand="1"/>
      </w:tblPr>
      <w:tblGrid>
        <w:gridCol w:w="2560"/>
        <w:gridCol w:w="1440"/>
        <w:gridCol w:w="1440"/>
        <w:gridCol w:w="1440"/>
        <w:gridCol w:w="1440"/>
      </w:tblGrid>
      <w:tr w:rsidR="006A373A" w:rsidRPr="00AA566D" w14:paraId="2FDF0F22" w14:textId="77777777" w:rsidTr="002C0BC3">
        <w:trPr>
          <w:trHeight w:val="227"/>
          <w:jc w:val="center"/>
        </w:trPr>
        <w:tc>
          <w:tcPr>
            <w:tcW w:w="2560" w:type="dxa"/>
            <w:tcBorders>
              <w:top w:val="single" w:sz="4" w:space="0" w:color="auto"/>
              <w:left w:val="single" w:sz="4" w:space="0" w:color="auto"/>
              <w:bottom w:val="single" w:sz="4" w:space="0" w:color="auto"/>
              <w:right w:val="nil"/>
            </w:tcBorders>
            <w:shd w:val="clear" w:color="auto" w:fill="auto"/>
            <w:noWrap/>
            <w:vAlign w:val="bottom"/>
            <w:hideMark/>
          </w:tcPr>
          <w:p w14:paraId="06FB6853"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p>
        </w:tc>
        <w:tc>
          <w:tcPr>
            <w:tcW w:w="1440" w:type="dxa"/>
            <w:tcBorders>
              <w:top w:val="nil"/>
              <w:left w:val="nil"/>
              <w:bottom w:val="nil"/>
              <w:right w:val="nil"/>
            </w:tcBorders>
            <w:shd w:val="clear" w:color="000000" w:fill="002060"/>
            <w:noWrap/>
            <w:vAlign w:val="bottom"/>
            <w:hideMark/>
          </w:tcPr>
          <w:p w14:paraId="75DDF225" w14:textId="77777777" w:rsidR="006A373A" w:rsidRPr="002C0BC3" w:rsidRDefault="006A373A" w:rsidP="00D2587D">
            <w:pPr>
              <w:spacing w:after="0" w:line="240" w:lineRule="auto"/>
              <w:jc w:val="right"/>
              <w:rPr>
                <w:rFonts w:asciiTheme="majorHAnsi" w:eastAsia="Times New Roman" w:hAnsiTheme="majorHAnsi" w:cs="Times New Roman"/>
                <w:b/>
                <w:bCs/>
                <w:color w:val="FFFFFF"/>
                <w:sz w:val="20"/>
                <w:szCs w:val="20"/>
                <w:lang w:val="en-US" w:eastAsia="fr-FR"/>
              </w:rPr>
            </w:pPr>
            <w:r w:rsidRPr="002C0BC3">
              <w:rPr>
                <w:rFonts w:asciiTheme="majorHAnsi" w:eastAsia="Times New Roman" w:hAnsiTheme="majorHAnsi" w:cs="Times New Roman"/>
                <w:b/>
                <w:bCs/>
                <w:color w:val="FFFFFF"/>
                <w:sz w:val="20"/>
                <w:szCs w:val="20"/>
                <w:lang w:val="en-US" w:eastAsia="fr-FR"/>
              </w:rPr>
              <w:t>2015</w:t>
            </w:r>
          </w:p>
        </w:tc>
        <w:tc>
          <w:tcPr>
            <w:tcW w:w="1440" w:type="dxa"/>
            <w:tcBorders>
              <w:top w:val="nil"/>
              <w:left w:val="nil"/>
              <w:bottom w:val="nil"/>
              <w:right w:val="nil"/>
            </w:tcBorders>
            <w:shd w:val="clear" w:color="000000" w:fill="002060"/>
            <w:noWrap/>
            <w:vAlign w:val="bottom"/>
            <w:hideMark/>
          </w:tcPr>
          <w:p w14:paraId="5E9F65E8" w14:textId="77777777" w:rsidR="006A373A" w:rsidRPr="002C0BC3" w:rsidRDefault="006A373A" w:rsidP="00D2587D">
            <w:pPr>
              <w:spacing w:after="0" w:line="240" w:lineRule="auto"/>
              <w:jc w:val="right"/>
              <w:rPr>
                <w:rFonts w:asciiTheme="majorHAnsi" w:eastAsia="Times New Roman" w:hAnsiTheme="majorHAnsi" w:cs="Times New Roman"/>
                <w:b/>
                <w:bCs/>
                <w:color w:val="FFFFFF"/>
                <w:sz w:val="20"/>
                <w:szCs w:val="20"/>
                <w:lang w:val="en-US" w:eastAsia="fr-FR"/>
              </w:rPr>
            </w:pPr>
            <w:r w:rsidRPr="002C0BC3">
              <w:rPr>
                <w:rFonts w:asciiTheme="majorHAnsi" w:eastAsia="Times New Roman" w:hAnsiTheme="majorHAnsi" w:cs="Times New Roman"/>
                <w:b/>
                <w:bCs/>
                <w:color w:val="FFFFFF"/>
                <w:sz w:val="20"/>
                <w:szCs w:val="20"/>
                <w:lang w:val="en-US" w:eastAsia="fr-FR"/>
              </w:rPr>
              <w:t>2020</w:t>
            </w:r>
          </w:p>
        </w:tc>
        <w:tc>
          <w:tcPr>
            <w:tcW w:w="1440" w:type="dxa"/>
            <w:tcBorders>
              <w:top w:val="nil"/>
              <w:left w:val="nil"/>
              <w:bottom w:val="nil"/>
              <w:right w:val="nil"/>
            </w:tcBorders>
            <w:shd w:val="clear" w:color="000000" w:fill="002060"/>
            <w:noWrap/>
            <w:vAlign w:val="bottom"/>
            <w:hideMark/>
          </w:tcPr>
          <w:p w14:paraId="241567D9" w14:textId="77777777" w:rsidR="006A373A" w:rsidRPr="002C0BC3" w:rsidRDefault="006A373A" w:rsidP="00D2587D">
            <w:pPr>
              <w:spacing w:after="0" w:line="240" w:lineRule="auto"/>
              <w:jc w:val="right"/>
              <w:rPr>
                <w:rFonts w:asciiTheme="majorHAnsi" w:eastAsia="Times New Roman" w:hAnsiTheme="majorHAnsi" w:cs="Times New Roman"/>
                <w:b/>
                <w:bCs/>
                <w:color w:val="FFFFFF"/>
                <w:sz w:val="20"/>
                <w:szCs w:val="20"/>
                <w:lang w:val="en-US" w:eastAsia="fr-FR"/>
              </w:rPr>
            </w:pPr>
            <w:r w:rsidRPr="002C0BC3">
              <w:rPr>
                <w:rFonts w:asciiTheme="majorHAnsi" w:eastAsia="Times New Roman" w:hAnsiTheme="majorHAnsi" w:cs="Times New Roman"/>
                <w:b/>
                <w:bCs/>
                <w:color w:val="FFFFFF"/>
                <w:sz w:val="20"/>
                <w:szCs w:val="20"/>
                <w:lang w:val="en-US" w:eastAsia="fr-FR"/>
              </w:rPr>
              <w:t>2025</w:t>
            </w:r>
          </w:p>
        </w:tc>
        <w:tc>
          <w:tcPr>
            <w:tcW w:w="1440" w:type="dxa"/>
            <w:tcBorders>
              <w:top w:val="nil"/>
              <w:left w:val="nil"/>
              <w:bottom w:val="nil"/>
              <w:right w:val="nil"/>
            </w:tcBorders>
            <w:shd w:val="clear" w:color="000000" w:fill="002060"/>
            <w:noWrap/>
            <w:vAlign w:val="bottom"/>
            <w:hideMark/>
          </w:tcPr>
          <w:p w14:paraId="643DBF41" w14:textId="77777777" w:rsidR="006A373A" w:rsidRPr="002C0BC3" w:rsidRDefault="006A373A" w:rsidP="00D2587D">
            <w:pPr>
              <w:spacing w:after="0" w:line="240" w:lineRule="auto"/>
              <w:jc w:val="right"/>
              <w:rPr>
                <w:rFonts w:asciiTheme="majorHAnsi" w:eastAsia="Times New Roman" w:hAnsiTheme="majorHAnsi" w:cs="Times New Roman"/>
                <w:b/>
                <w:bCs/>
                <w:color w:val="FFFFFF"/>
                <w:sz w:val="20"/>
                <w:szCs w:val="20"/>
                <w:lang w:val="en-US" w:eastAsia="fr-FR"/>
              </w:rPr>
            </w:pPr>
            <w:r w:rsidRPr="002C0BC3">
              <w:rPr>
                <w:rFonts w:asciiTheme="majorHAnsi" w:eastAsia="Times New Roman" w:hAnsiTheme="majorHAnsi" w:cs="Times New Roman"/>
                <w:b/>
                <w:bCs/>
                <w:color w:val="FFFFFF"/>
                <w:sz w:val="20"/>
                <w:szCs w:val="20"/>
                <w:lang w:val="en-US" w:eastAsia="fr-FR"/>
              </w:rPr>
              <w:t>2030</w:t>
            </w:r>
          </w:p>
        </w:tc>
      </w:tr>
      <w:tr w:rsidR="006A373A" w:rsidRPr="00AA566D" w14:paraId="44BAE85B" w14:textId="77777777" w:rsidTr="002C0BC3">
        <w:trPr>
          <w:trHeight w:val="227"/>
          <w:jc w:val="center"/>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14:paraId="1B54621F" w14:textId="77777777" w:rsidR="006A373A" w:rsidRPr="002C0BC3" w:rsidRDefault="006A373A" w:rsidP="00D2587D">
            <w:pPr>
              <w:spacing w:after="0" w:line="240" w:lineRule="auto"/>
              <w:rPr>
                <w:rFonts w:asciiTheme="majorHAnsi" w:eastAsia="Times New Roman" w:hAnsiTheme="majorHAnsi" w:cs="Times New Roman"/>
                <w:b/>
                <w:bCs/>
                <w:sz w:val="20"/>
                <w:szCs w:val="20"/>
                <w:lang w:val="en-US" w:eastAsia="fr-FR"/>
              </w:rPr>
            </w:pPr>
            <w:r w:rsidRPr="002C0BC3">
              <w:rPr>
                <w:rFonts w:asciiTheme="majorHAnsi" w:eastAsia="Times New Roman" w:hAnsiTheme="majorHAnsi" w:cs="Times New Roman"/>
                <w:b/>
                <w:bCs/>
                <w:sz w:val="20"/>
                <w:szCs w:val="20"/>
                <w:lang w:val="en-US" w:eastAsia="fr-FR"/>
              </w:rPr>
              <w:t>Total population</w:t>
            </w:r>
          </w:p>
        </w:tc>
        <w:tc>
          <w:tcPr>
            <w:tcW w:w="1440" w:type="dxa"/>
            <w:tcBorders>
              <w:top w:val="single" w:sz="4" w:space="0" w:color="auto"/>
              <w:left w:val="nil"/>
              <w:bottom w:val="nil"/>
              <w:right w:val="single" w:sz="4" w:space="0" w:color="auto"/>
            </w:tcBorders>
            <w:shd w:val="clear" w:color="auto" w:fill="auto"/>
            <w:noWrap/>
            <w:vAlign w:val="bottom"/>
            <w:hideMark/>
          </w:tcPr>
          <w:p w14:paraId="0F44FFC7"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 </w:t>
            </w:r>
          </w:p>
        </w:tc>
        <w:tc>
          <w:tcPr>
            <w:tcW w:w="1440" w:type="dxa"/>
            <w:tcBorders>
              <w:top w:val="single" w:sz="4" w:space="0" w:color="auto"/>
              <w:left w:val="nil"/>
              <w:bottom w:val="nil"/>
              <w:right w:val="single" w:sz="4" w:space="0" w:color="auto"/>
            </w:tcBorders>
            <w:shd w:val="clear" w:color="auto" w:fill="auto"/>
            <w:noWrap/>
            <w:vAlign w:val="bottom"/>
            <w:hideMark/>
          </w:tcPr>
          <w:p w14:paraId="651537D4"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 </w:t>
            </w:r>
          </w:p>
        </w:tc>
        <w:tc>
          <w:tcPr>
            <w:tcW w:w="1440" w:type="dxa"/>
            <w:tcBorders>
              <w:top w:val="single" w:sz="4" w:space="0" w:color="auto"/>
              <w:left w:val="nil"/>
              <w:bottom w:val="nil"/>
              <w:right w:val="single" w:sz="4" w:space="0" w:color="auto"/>
            </w:tcBorders>
            <w:shd w:val="clear" w:color="auto" w:fill="auto"/>
            <w:noWrap/>
            <w:vAlign w:val="bottom"/>
            <w:hideMark/>
          </w:tcPr>
          <w:p w14:paraId="7A0BA53E"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 </w:t>
            </w:r>
          </w:p>
        </w:tc>
        <w:tc>
          <w:tcPr>
            <w:tcW w:w="1440" w:type="dxa"/>
            <w:tcBorders>
              <w:top w:val="single" w:sz="4" w:space="0" w:color="auto"/>
              <w:left w:val="nil"/>
              <w:bottom w:val="nil"/>
              <w:right w:val="single" w:sz="4" w:space="0" w:color="auto"/>
            </w:tcBorders>
            <w:shd w:val="clear" w:color="auto" w:fill="auto"/>
            <w:noWrap/>
            <w:vAlign w:val="bottom"/>
            <w:hideMark/>
          </w:tcPr>
          <w:p w14:paraId="2BCF2493"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 </w:t>
            </w:r>
          </w:p>
        </w:tc>
      </w:tr>
      <w:tr w:rsidR="006A373A" w:rsidRPr="00AA566D" w14:paraId="689C40BB" w14:textId="77777777" w:rsidTr="00CE3D2F">
        <w:trPr>
          <w:trHeight w:val="227"/>
          <w:jc w:val="center"/>
        </w:trPr>
        <w:tc>
          <w:tcPr>
            <w:tcW w:w="2560" w:type="dxa"/>
            <w:tcBorders>
              <w:top w:val="nil"/>
              <w:left w:val="single" w:sz="4" w:space="0" w:color="auto"/>
              <w:bottom w:val="nil"/>
              <w:right w:val="single" w:sz="4" w:space="0" w:color="auto"/>
            </w:tcBorders>
            <w:shd w:val="clear" w:color="auto" w:fill="auto"/>
            <w:noWrap/>
            <w:vAlign w:val="bottom"/>
            <w:hideMark/>
          </w:tcPr>
          <w:p w14:paraId="5170B370" w14:textId="77777777" w:rsidR="006A373A" w:rsidRPr="002C0BC3" w:rsidRDefault="006A373A" w:rsidP="00D2587D">
            <w:pPr>
              <w:spacing w:after="0" w:line="240" w:lineRule="auto"/>
              <w:ind w:firstLineChars="100" w:firstLine="200"/>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Sub-Saharan Africa</w:t>
            </w:r>
          </w:p>
        </w:tc>
        <w:tc>
          <w:tcPr>
            <w:tcW w:w="1440" w:type="dxa"/>
            <w:tcBorders>
              <w:top w:val="nil"/>
              <w:left w:val="nil"/>
              <w:bottom w:val="nil"/>
              <w:right w:val="single" w:sz="4" w:space="0" w:color="auto"/>
            </w:tcBorders>
            <w:shd w:val="clear" w:color="auto" w:fill="auto"/>
            <w:noWrap/>
            <w:vAlign w:val="bottom"/>
            <w:hideMark/>
          </w:tcPr>
          <w:p w14:paraId="6BA0BB5B"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969 234 251</w:t>
            </w:r>
          </w:p>
        </w:tc>
        <w:tc>
          <w:tcPr>
            <w:tcW w:w="1440" w:type="dxa"/>
            <w:tcBorders>
              <w:top w:val="nil"/>
              <w:left w:val="nil"/>
              <w:bottom w:val="nil"/>
              <w:right w:val="single" w:sz="4" w:space="0" w:color="auto"/>
            </w:tcBorders>
            <w:shd w:val="clear" w:color="auto" w:fill="auto"/>
            <w:noWrap/>
            <w:vAlign w:val="bottom"/>
            <w:hideMark/>
          </w:tcPr>
          <w:p w14:paraId="104092F0"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1 106 572 881</w:t>
            </w:r>
          </w:p>
        </w:tc>
        <w:tc>
          <w:tcPr>
            <w:tcW w:w="1440" w:type="dxa"/>
            <w:tcBorders>
              <w:top w:val="nil"/>
              <w:left w:val="nil"/>
              <w:bottom w:val="nil"/>
              <w:right w:val="single" w:sz="4" w:space="0" w:color="auto"/>
            </w:tcBorders>
            <w:shd w:val="clear" w:color="auto" w:fill="auto"/>
            <w:noWrap/>
            <w:vAlign w:val="bottom"/>
            <w:hideMark/>
          </w:tcPr>
          <w:p w14:paraId="1851C4DA"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1 256 239 744</w:t>
            </w:r>
          </w:p>
        </w:tc>
        <w:tc>
          <w:tcPr>
            <w:tcW w:w="1440" w:type="dxa"/>
            <w:tcBorders>
              <w:top w:val="nil"/>
              <w:left w:val="nil"/>
              <w:bottom w:val="nil"/>
              <w:right w:val="single" w:sz="4" w:space="0" w:color="auto"/>
            </w:tcBorders>
            <w:shd w:val="clear" w:color="auto" w:fill="auto"/>
            <w:noWrap/>
            <w:vAlign w:val="bottom"/>
            <w:hideMark/>
          </w:tcPr>
          <w:p w14:paraId="13F99380"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1 418 333 150</w:t>
            </w:r>
          </w:p>
        </w:tc>
      </w:tr>
      <w:tr w:rsidR="006A373A" w:rsidRPr="00AA566D" w14:paraId="1D5B978B" w14:textId="77777777" w:rsidTr="00CE3D2F">
        <w:trPr>
          <w:trHeight w:val="227"/>
          <w:jc w:val="center"/>
        </w:trPr>
        <w:tc>
          <w:tcPr>
            <w:tcW w:w="2560" w:type="dxa"/>
            <w:tcBorders>
              <w:top w:val="nil"/>
              <w:left w:val="single" w:sz="4" w:space="0" w:color="auto"/>
              <w:bottom w:val="nil"/>
              <w:right w:val="single" w:sz="4" w:space="0" w:color="auto"/>
            </w:tcBorders>
            <w:shd w:val="clear" w:color="auto" w:fill="auto"/>
            <w:noWrap/>
            <w:vAlign w:val="bottom"/>
            <w:hideMark/>
          </w:tcPr>
          <w:p w14:paraId="4D6C3EB8" w14:textId="77777777" w:rsidR="006A373A" w:rsidRPr="002C0BC3" w:rsidRDefault="006A373A" w:rsidP="00D2587D">
            <w:pPr>
              <w:spacing w:after="0" w:line="240" w:lineRule="auto"/>
              <w:ind w:firstLineChars="100" w:firstLine="200"/>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Western &amp; Central Africa</w:t>
            </w:r>
          </w:p>
        </w:tc>
        <w:tc>
          <w:tcPr>
            <w:tcW w:w="1440" w:type="dxa"/>
            <w:tcBorders>
              <w:top w:val="nil"/>
              <w:left w:val="nil"/>
              <w:bottom w:val="nil"/>
              <w:right w:val="single" w:sz="4" w:space="0" w:color="auto"/>
            </w:tcBorders>
            <w:shd w:val="clear" w:color="auto" w:fill="auto"/>
            <w:noWrap/>
            <w:vAlign w:val="bottom"/>
            <w:hideMark/>
          </w:tcPr>
          <w:p w14:paraId="4CAEEB31"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506 356 586</w:t>
            </w:r>
          </w:p>
        </w:tc>
        <w:tc>
          <w:tcPr>
            <w:tcW w:w="1440" w:type="dxa"/>
            <w:tcBorders>
              <w:top w:val="nil"/>
              <w:left w:val="nil"/>
              <w:bottom w:val="nil"/>
              <w:right w:val="single" w:sz="4" w:space="0" w:color="auto"/>
            </w:tcBorders>
            <w:shd w:val="clear" w:color="auto" w:fill="auto"/>
            <w:noWrap/>
            <w:vAlign w:val="bottom"/>
            <w:hideMark/>
          </w:tcPr>
          <w:p w14:paraId="6D81822D"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581 538 157</w:t>
            </w:r>
          </w:p>
        </w:tc>
        <w:tc>
          <w:tcPr>
            <w:tcW w:w="1440" w:type="dxa"/>
            <w:tcBorders>
              <w:top w:val="nil"/>
              <w:left w:val="nil"/>
              <w:bottom w:val="nil"/>
              <w:right w:val="single" w:sz="4" w:space="0" w:color="auto"/>
            </w:tcBorders>
            <w:shd w:val="clear" w:color="auto" w:fill="auto"/>
            <w:noWrap/>
            <w:vAlign w:val="bottom"/>
            <w:hideMark/>
          </w:tcPr>
          <w:p w14:paraId="1C6BEE36"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664 712 240</w:t>
            </w:r>
          </w:p>
        </w:tc>
        <w:tc>
          <w:tcPr>
            <w:tcW w:w="1440" w:type="dxa"/>
            <w:tcBorders>
              <w:top w:val="nil"/>
              <w:left w:val="nil"/>
              <w:bottom w:val="nil"/>
              <w:right w:val="single" w:sz="4" w:space="0" w:color="auto"/>
            </w:tcBorders>
            <w:shd w:val="clear" w:color="auto" w:fill="auto"/>
            <w:noWrap/>
            <w:vAlign w:val="bottom"/>
            <w:hideMark/>
          </w:tcPr>
          <w:p w14:paraId="739E5CD0"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756 217 017</w:t>
            </w:r>
          </w:p>
        </w:tc>
      </w:tr>
      <w:tr w:rsidR="006A373A" w:rsidRPr="00AA566D" w14:paraId="0CA9D9ED" w14:textId="77777777" w:rsidTr="00CE3D2F">
        <w:trPr>
          <w:trHeight w:val="227"/>
          <w:jc w:val="center"/>
        </w:trPr>
        <w:tc>
          <w:tcPr>
            <w:tcW w:w="2560" w:type="dxa"/>
            <w:tcBorders>
              <w:top w:val="nil"/>
              <w:left w:val="single" w:sz="4" w:space="0" w:color="auto"/>
              <w:bottom w:val="nil"/>
              <w:right w:val="single" w:sz="4" w:space="0" w:color="auto"/>
            </w:tcBorders>
            <w:shd w:val="clear" w:color="auto" w:fill="auto"/>
            <w:noWrap/>
            <w:vAlign w:val="bottom"/>
            <w:hideMark/>
          </w:tcPr>
          <w:p w14:paraId="5DD16C43" w14:textId="77777777" w:rsidR="006A373A" w:rsidRPr="002C0BC3" w:rsidRDefault="006A373A" w:rsidP="00D2587D">
            <w:pPr>
              <w:spacing w:after="0" w:line="240" w:lineRule="auto"/>
              <w:ind w:firstLineChars="100" w:firstLine="200"/>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World</w:t>
            </w:r>
          </w:p>
        </w:tc>
        <w:tc>
          <w:tcPr>
            <w:tcW w:w="1440" w:type="dxa"/>
            <w:tcBorders>
              <w:top w:val="nil"/>
              <w:left w:val="nil"/>
              <w:bottom w:val="nil"/>
              <w:right w:val="single" w:sz="4" w:space="0" w:color="auto"/>
            </w:tcBorders>
            <w:shd w:val="clear" w:color="auto" w:fill="auto"/>
            <w:noWrap/>
            <w:vAlign w:val="bottom"/>
            <w:hideMark/>
          </w:tcPr>
          <w:p w14:paraId="46332C18"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7 383 008 820</w:t>
            </w:r>
          </w:p>
        </w:tc>
        <w:tc>
          <w:tcPr>
            <w:tcW w:w="1440" w:type="dxa"/>
            <w:tcBorders>
              <w:top w:val="nil"/>
              <w:left w:val="nil"/>
              <w:bottom w:val="nil"/>
              <w:right w:val="single" w:sz="4" w:space="0" w:color="auto"/>
            </w:tcBorders>
            <w:shd w:val="clear" w:color="auto" w:fill="auto"/>
            <w:noWrap/>
            <w:vAlign w:val="bottom"/>
            <w:hideMark/>
          </w:tcPr>
          <w:p w14:paraId="342F61D2"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7 795 482 309</w:t>
            </w:r>
          </w:p>
        </w:tc>
        <w:tc>
          <w:tcPr>
            <w:tcW w:w="1440" w:type="dxa"/>
            <w:tcBorders>
              <w:top w:val="nil"/>
              <w:left w:val="nil"/>
              <w:bottom w:val="nil"/>
              <w:right w:val="single" w:sz="4" w:space="0" w:color="auto"/>
            </w:tcBorders>
            <w:shd w:val="clear" w:color="auto" w:fill="auto"/>
            <w:noWrap/>
            <w:vAlign w:val="bottom"/>
            <w:hideMark/>
          </w:tcPr>
          <w:p w14:paraId="18C88B9C"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8 185 613 757</w:t>
            </w:r>
          </w:p>
        </w:tc>
        <w:tc>
          <w:tcPr>
            <w:tcW w:w="1440" w:type="dxa"/>
            <w:tcBorders>
              <w:top w:val="nil"/>
              <w:left w:val="nil"/>
              <w:bottom w:val="nil"/>
              <w:right w:val="single" w:sz="4" w:space="0" w:color="auto"/>
            </w:tcBorders>
            <w:shd w:val="clear" w:color="auto" w:fill="auto"/>
            <w:noWrap/>
            <w:vAlign w:val="bottom"/>
            <w:hideMark/>
          </w:tcPr>
          <w:p w14:paraId="60A09CBD"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8 551 198 644</w:t>
            </w:r>
          </w:p>
        </w:tc>
      </w:tr>
      <w:tr w:rsidR="006A373A" w:rsidRPr="00AA566D" w14:paraId="05612F6D" w14:textId="77777777" w:rsidTr="00CE3D2F">
        <w:trPr>
          <w:trHeight w:val="227"/>
          <w:jc w:val="center"/>
        </w:trPr>
        <w:tc>
          <w:tcPr>
            <w:tcW w:w="2560" w:type="dxa"/>
            <w:tcBorders>
              <w:top w:val="nil"/>
              <w:left w:val="single" w:sz="4" w:space="0" w:color="auto"/>
              <w:bottom w:val="nil"/>
              <w:right w:val="single" w:sz="4" w:space="0" w:color="auto"/>
            </w:tcBorders>
            <w:shd w:val="clear" w:color="auto" w:fill="auto"/>
            <w:noWrap/>
            <w:vAlign w:val="bottom"/>
            <w:hideMark/>
          </w:tcPr>
          <w:p w14:paraId="6B1A15B6" w14:textId="77777777" w:rsidR="006A373A" w:rsidRPr="002C0BC3" w:rsidRDefault="006A373A" w:rsidP="00D2587D">
            <w:pPr>
              <w:spacing w:after="0" w:line="240" w:lineRule="auto"/>
              <w:rPr>
                <w:rFonts w:asciiTheme="majorHAnsi" w:eastAsia="Times New Roman" w:hAnsiTheme="majorHAnsi" w:cs="Times New Roman"/>
                <w:b/>
                <w:bCs/>
                <w:sz w:val="20"/>
                <w:szCs w:val="20"/>
                <w:lang w:val="en-US" w:eastAsia="fr-FR"/>
              </w:rPr>
            </w:pPr>
            <w:r w:rsidRPr="002C0BC3">
              <w:rPr>
                <w:rFonts w:asciiTheme="majorHAnsi" w:eastAsia="Times New Roman" w:hAnsiTheme="majorHAnsi" w:cs="Times New Roman"/>
                <w:b/>
                <w:bCs/>
                <w:sz w:val="20"/>
                <w:szCs w:val="20"/>
                <w:lang w:val="en-US" w:eastAsia="fr-FR"/>
              </w:rPr>
              <w:t>Group of [15-24 years]</w:t>
            </w:r>
          </w:p>
        </w:tc>
        <w:tc>
          <w:tcPr>
            <w:tcW w:w="1440" w:type="dxa"/>
            <w:tcBorders>
              <w:top w:val="nil"/>
              <w:left w:val="nil"/>
              <w:bottom w:val="nil"/>
              <w:right w:val="single" w:sz="4" w:space="0" w:color="auto"/>
            </w:tcBorders>
            <w:shd w:val="clear" w:color="auto" w:fill="auto"/>
            <w:noWrap/>
            <w:vAlign w:val="bottom"/>
            <w:hideMark/>
          </w:tcPr>
          <w:p w14:paraId="62BFE54B"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 </w:t>
            </w:r>
          </w:p>
        </w:tc>
        <w:tc>
          <w:tcPr>
            <w:tcW w:w="1440" w:type="dxa"/>
            <w:tcBorders>
              <w:top w:val="nil"/>
              <w:left w:val="nil"/>
              <w:bottom w:val="nil"/>
              <w:right w:val="single" w:sz="4" w:space="0" w:color="auto"/>
            </w:tcBorders>
            <w:shd w:val="clear" w:color="auto" w:fill="auto"/>
            <w:noWrap/>
            <w:vAlign w:val="bottom"/>
            <w:hideMark/>
          </w:tcPr>
          <w:p w14:paraId="76CC69F3"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 </w:t>
            </w:r>
          </w:p>
        </w:tc>
        <w:tc>
          <w:tcPr>
            <w:tcW w:w="1440" w:type="dxa"/>
            <w:tcBorders>
              <w:top w:val="nil"/>
              <w:left w:val="nil"/>
              <w:bottom w:val="nil"/>
              <w:right w:val="single" w:sz="4" w:space="0" w:color="auto"/>
            </w:tcBorders>
            <w:shd w:val="clear" w:color="auto" w:fill="auto"/>
            <w:noWrap/>
            <w:vAlign w:val="bottom"/>
            <w:hideMark/>
          </w:tcPr>
          <w:p w14:paraId="1B098B36"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 </w:t>
            </w:r>
          </w:p>
        </w:tc>
        <w:tc>
          <w:tcPr>
            <w:tcW w:w="1440" w:type="dxa"/>
            <w:tcBorders>
              <w:top w:val="nil"/>
              <w:left w:val="nil"/>
              <w:bottom w:val="nil"/>
              <w:right w:val="single" w:sz="4" w:space="0" w:color="auto"/>
            </w:tcBorders>
            <w:shd w:val="clear" w:color="auto" w:fill="auto"/>
            <w:noWrap/>
            <w:vAlign w:val="bottom"/>
            <w:hideMark/>
          </w:tcPr>
          <w:p w14:paraId="582E5AE0"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 </w:t>
            </w:r>
          </w:p>
        </w:tc>
      </w:tr>
      <w:tr w:rsidR="006A373A" w:rsidRPr="00AA566D" w14:paraId="7050F826" w14:textId="77777777" w:rsidTr="00CE3D2F">
        <w:trPr>
          <w:trHeight w:val="227"/>
          <w:jc w:val="center"/>
        </w:trPr>
        <w:tc>
          <w:tcPr>
            <w:tcW w:w="2560" w:type="dxa"/>
            <w:tcBorders>
              <w:top w:val="nil"/>
              <w:left w:val="single" w:sz="4" w:space="0" w:color="auto"/>
              <w:bottom w:val="nil"/>
              <w:right w:val="single" w:sz="4" w:space="0" w:color="auto"/>
            </w:tcBorders>
            <w:shd w:val="clear" w:color="auto" w:fill="auto"/>
            <w:noWrap/>
            <w:vAlign w:val="bottom"/>
            <w:hideMark/>
          </w:tcPr>
          <w:p w14:paraId="7C651939" w14:textId="77777777" w:rsidR="006A373A" w:rsidRPr="002C0BC3" w:rsidRDefault="006A373A" w:rsidP="00D2587D">
            <w:pPr>
              <w:spacing w:after="0" w:line="240" w:lineRule="auto"/>
              <w:ind w:firstLineChars="100" w:firstLine="200"/>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Sub-Saharan Africa</w:t>
            </w:r>
          </w:p>
        </w:tc>
        <w:tc>
          <w:tcPr>
            <w:tcW w:w="1440" w:type="dxa"/>
            <w:tcBorders>
              <w:top w:val="nil"/>
              <w:left w:val="nil"/>
              <w:bottom w:val="nil"/>
              <w:right w:val="single" w:sz="4" w:space="0" w:color="auto"/>
            </w:tcBorders>
            <w:shd w:val="clear" w:color="auto" w:fill="auto"/>
            <w:noWrap/>
            <w:vAlign w:val="bottom"/>
            <w:hideMark/>
          </w:tcPr>
          <w:p w14:paraId="4D859B7D"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190 808 033</w:t>
            </w:r>
          </w:p>
        </w:tc>
        <w:tc>
          <w:tcPr>
            <w:tcW w:w="1440" w:type="dxa"/>
            <w:tcBorders>
              <w:top w:val="nil"/>
              <w:left w:val="nil"/>
              <w:bottom w:val="nil"/>
              <w:right w:val="single" w:sz="4" w:space="0" w:color="auto"/>
            </w:tcBorders>
            <w:shd w:val="clear" w:color="auto" w:fill="auto"/>
            <w:noWrap/>
            <w:vAlign w:val="bottom"/>
            <w:hideMark/>
          </w:tcPr>
          <w:p w14:paraId="19AAE6F3"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219 823 278</w:t>
            </w:r>
          </w:p>
        </w:tc>
        <w:tc>
          <w:tcPr>
            <w:tcW w:w="1440" w:type="dxa"/>
            <w:tcBorders>
              <w:top w:val="nil"/>
              <w:left w:val="nil"/>
              <w:bottom w:val="nil"/>
              <w:right w:val="single" w:sz="4" w:space="0" w:color="auto"/>
            </w:tcBorders>
            <w:shd w:val="clear" w:color="auto" w:fill="auto"/>
            <w:noWrap/>
            <w:vAlign w:val="bottom"/>
            <w:hideMark/>
          </w:tcPr>
          <w:p w14:paraId="4C6AB844"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251 846 538</w:t>
            </w:r>
          </w:p>
        </w:tc>
        <w:tc>
          <w:tcPr>
            <w:tcW w:w="1440" w:type="dxa"/>
            <w:tcBorders>
              <w:top w:val="nil"/>
              <w:left w:val="nil"/>
              <w:bottom w:val="nil"/>
              <w:right w:val="single" w:sz="4" w:space="0" w:color="auto"/>
            </w:tcBorders>
            <w:shd w:val="clear" w:color="auto" w:fill="auto"/>
            <w:noWrap/>
            <w:vAlign w:val="bottom"/>
            <w:hideMark/>
          </w:tcPr>
          <w:p w14:paraId="352BE730"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284 827 992</w:t>
            </w:r>
          </w:p>
        </w:tc>
      </w:tr>
      <w:tr w:rsidR="006A373A" w:rsidRPr="00AA566D" w14:paraId="01B1705C" w14:textId="77777777" w:rsidTr="00CE3D2F">
        <w:trPr>
          <w:trHeight w:val="227"/>
          <w:jc w:val="center"/>
        </w:trPr>
        <w:tc>
          <w:tcPr>
            <w:tcW w:w="2560" w:type="dxa"/>
            <w:tcBorders>
              <w:top w:val="nil"/>
              <w:left w:val="single" w:sz="4" w:space="0" w:color="auto"/>
              <w:bottom w:val="nil"/>
              <w:right w:val="single" w:sz="4" w:space="0" w:color="auto"/>
            </w:tcBorders>
            <w:shd w:val="clear" w:color="auto" w:fill="auto"/>
            <w:noWrap/>
            <w:vAlign w:val="bottom"/>
            <w:hideMark/>
          </w:tcPr>
          <w:p w14:paraId="6D4CB03B" w14:textId="77777777" w:rsidR="006A373A" w:rsidRPr="002C0BC3" w:rsidRDefault="006A373A" w:rsidP="00D2587D">
            <w:pPr>
              <w:spacing w:after="0" w:line="240" w:lineRule="auto"/>
              <w:ind w:firstLineChars="100" w:firstLine="200"/>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Western &amp; Central Africa</w:t>
            </w:r>
          </w:p>
        </w:tc>
        <w:tc>
          <w:tcPr>
            <w:tcW w:w="1440" w:type="dxa"/>
            <w:tcBorders>
              <w:top w:val="nil"/>
              <w:left w:val="nil"/>
              <w:bottom w:val="nil"/>
              <w:right w:val="single" w:sz="4" w:space="0" w:color="auto"/>
            </w:tcBorders>
            <w:shd w:val="clear" w:color="auto" w:fill="auto"/>
            <w:noWrap/>
            <w:vAlign w:val="bottom"/>
            <w:hideMark/>
          </w:tcPr>
          <w:p w14:paraId="3211ACF6"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97 349 958</w:t>
            </w:r>
          </w:p>
        </w:tc>
        <w:tc>
          <w:tcPr>
            <w:tcW w:w="1440" w:type="dxa"/>
            <w:tcBorders>
              <w:top w:val="nil"/>
              <w:left w:val="nil"/>
              <w:bottom w:val="nil"/>
              <w:right w:val="single" w:sz="4" w:space="0" w:color="auto"/>
            </w:tcBorders>
            <w:shd w:val="clear" w:color="auto" w:fill="auto"/>
            <w:noWrap/>
            <w:vAlign w:val="bottom"/>
            <w:hideMark/>
          </w:tcPr>
          <w:p w14:paraId="6B253800"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113 718 416</w:t>
            </w:r>
          </w:p>
        </w:tc>
        <w:tc>
          <w:tcPr>
            <w:tcW w:w="1440" w:type="dxa"/>
            <w:tcBorders>
              <w:top w:val="nil"/>
              <w:left w:val="nil"/>
              <w:bottom w:val="nil"/>
              <w:right w:val="single" w:sz="4" w:space="0" w:color="auto"/>
            </w:tcBorders>
            <w:shd w:val="clear" w:color="auto" w:fill="auto"/>
            <w:noWrap/>
            <w:vAlign w:val="bottom"/>
            <w:hideMark/>
          </w:tcPr>
          <w:p w14:paraId="0DE241A7"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133 163 013</w:t>
            </w:r>
          </w:p>
        </w:tc>
        <w:tc>
          <w:tcPr>
            <w:tcW w:w="1440" w:type="dxa"/>
            <w:tcBorders>
              <w:top w:val="nil"/>
              <w:left w:val="nil"/>
              <w:bottom w:val="nil"/>
              <w:right w:val="single" w:sz="4" w:space="0" w:color="auto"/>
            </w:tcBorders>
            <w:shd w:val="clear" w:color="auto" w:fill="auto"/>
            <w:noWrap/>
            <w:vAlign w:val="bottom"/>
            <w:hideMark/>
          </w:tcPr>
          <w:p w14:paraId="3BFD5BA4"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153 530 688</w:t>
            </w:r>
          </w:p>
        </w:tc>
      </w:tr>
      <w:tr w:rsidR="006A373A" w:rsidRPr="00AA566D" w14:paraId="7F4D7413" w14:textId="77777777" w:rsidTr="00CE3D2F">
        <w:trPr>
          <w:trHeight w:val="227"/>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F301B5E" w14:textId="77777777" w:rsidR="006A373A" w:rsidRPr="002C0BC3" w:rsidRDefault="006A373A" w:rsidP="00D2587D">
            <w:pPr>
              <w:spacing w:after="0" w:line="240" w:lineRule="auto"/>
              <w:ind w:firstLineChars="100" w:firstLine="200"/>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World</w:t>
            </w:r>
          </w:p>
        </w:tc>
        <w:tc>
          <w:tcPr>
            <w:tcW w:w="1440" w:type="dxa"/>
            <w:tcBorders>
              <w:top w:val="nil"/>
              <w:left w:val="nil"/>
              <w:bottom w:val="single" w:sz="4" w:space="0" w:color="auto"/>
              <w:right w:val="single" w:sz="4" w:space="0" w:color="auto"/>
            </w:tcBorders>
            <w:shd w:val="clear" w:color="auto" w:fill="auto"/>
            <w:noWrap/>
            <w:vAlign w:val="bottom"/>
            <w:hideMark/>
          </w:tcPr>
          <w:p w14:paraId="4396A37E"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1 194 505 566</w:t>
            </w:r>
          </w:p>
        </w:tc>
        <w:tc>
          <w:tcPr>
            <w:tcW w:w="1440" w:type="dxa"/>
            <w:tcBorders>
              <w:top w:val="nil"/>
              <w:left w:val="nil"/>
              <w:bottom w:val="single" w:sz="4" w:space="0" w:color="auto"/>
              <w:right w:val="single" w:sz="4" w:space="0" w:color="auto"/>
            </w:tcBorders>
            <w:shd w:val="clear" w:color="auto" w:fill="auto"/>
            <w:noWrap/>
            <w:vAlign w:val="bottom"/>
            <w:hideMark/>
          </w:tcPr>
          <w:p w14:paraId="050AE80D"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1 198 939 078</w:t>
            </w:r>
          </w:p>
        </w:tc>
        <w:tc>
          <w:tcPr>
            <w:tcW w:w="1440" w:type="dxa"/>
            <w:tcBorders>
              <w:top w:val="nil"/>
              <w:left w:val="nil"/>
              <w:bottom w:val="single" w:sz="4" w:space="0" w:color="auto"/>
              <w:right w:val="single" w:sz="4" w:space="0" w:color="auto"/>
            </w:tcBorders>
            <w:shd w:val="clear" w:color="auto" w:fill="auto"/>
            <w:noWrap/>
            <w:vAlign w:val="bottom"/>
            <w:hideMark/>
          </w:tcPr>
          <w:p w14:paraId="0E74F4F2"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1 243 830 068</w:t>
            </w:r>
          </w:p>
        </w:tc>
        <w:tc>
          <w:tcPr>
            <w:tcW w:w="1440" w:type="dxa"/>
            <w:tcBorders>
              <w:top w:val="nil"/>
              <w:left w:val="nil"/>
              <w:bottom w:val="single" w:sz="4" w:space="0" w:color="auto"/>
              <w:right w:val="single" w:sz="4" w:space="0" w:color="auto"/>
            </w:tcBorders>
            <w:shd w:val="clear" w:color="auto" w:fill="auto"/>
            <w:noWrap/>
            <w:vAlign w:val="bottom"/>
            <w:hideMark/>
          </w:tcPr>
          <w:p w14:paraId="37E5A090" w14:textId="77777777" w:rsidR="006A373A" w:rsidRPr="002C0BC3" w:rsidRDefault="006A373A" w:rsidP="00D2587D">
            <w:pPr>
              <w:spacing w:after="0" w:line="240" w:lineRule="auto"/>
              <w:jc w:val="right"/>
              <w:rPr>
                <w:rFonts w:asciiTheme="majorHAnsi" w:eastAsia="Times New Roman" w:hAnsiTheme="majorHAnsi" w:cs="Times New Roman"/>
                <w:sz w:val="20"/>
                <w:szCs w:val="20"/>
                <w:lang w:val="en-US" w:eastAsia="fr-FR"/>
              </w:rPr>
            </w:pPr>
            <w:r w:rsidRPr="002C0BC3">
              <w:rPr>
                <w:rFonts w:asciiTheme="majorHAnsi" w:eastAsia="Times New Roman" w:hAnsiTheme="majorHAnsi" w:cs="Times New Roman"/>
                <w:sz w:val="20"/>
                <w:szCs w:val="20"/>
                <w:lang w:val="en-US" w:eastAsia="fr-FR"/>
              </w:rPr>
              <w:t>1 296 185 701</w:t>
            </w:r>
          </w:p>
        </w:tc>
      </w:tr>
      <w:tr w:rsidR="006A373A" w:rsidRPr="00AA566D" w14:paraId="25C4C6B2" w14:textId="77777777" w:rsidTr="00CE3D2F">
        <w:trPr>
          <w:trHeight w:val="58"/>
          <w:jc w:val="center"/>
        </w:trPr>
        <w:tc>
          <w:tcPr>
            <w:tcW w:w="2560" w:type="dxa"/>
            <w:tcBorders>
              <w:top w:val="nil"/>
              <w:left w:val="nil"/>
              <w:bottom w:val="nil"/>
              <w:right w:val="nil"/>
            </w:tcBorders>
            <w:shd w:val="clear" w:color="auto" w:fill="auto"/>
            <w:noWrap/>
            <w:vAlign w:val="bottom"/>
            <w:hideMark/>
          </w:tcPr>
          <w:p w14:paraId="596AECD8"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p>
        </w:tc>
        <w:tc>
          <w:tcPr>
            <w:tcW w:w="1440" w:type="dxa"/>
            <w:tcBorders>
              <w:top w:val="nil"/>
              <w:left w:val="nil"/>
              <w:bottom w:val="nil"/>
              <w:right w:val="nil"/>
            </w:tcBorders>
            <w:shd w:val="clear" w:color="auto" w:fill="auto"/>
            <w:noWrap/>
            <w:vAlign w:val="bottom"/>
            <w:hideMark/>
          </w:tcPr>
          <w:p w14:paraId="760D02B1"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p>
        </w:tc>
        <w:tc>
          <w:tcPr>
            <w:tcW w:w="1440" w:type="dxa"/>
            <w:tcBorders>
              <w:top w:val="nil"/>
              <w:left w:val="nil"/>
              <w:bottom w:val="nil"/>
              <w:right w:val="nil"/>
            </w:tcBorders>
            <w:shd w:val="clear" w:color="auto" w:fill="auto"/>
            <w:noWrap/>
            <w:vAlign w:val="bottom"/>
            <w:hideMark/>
          </w:tcPr>
          <w:p w14:paraId="6C2D338A"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p>
        </w:tc>
        <w:tc>
          <w:tcPr>
            <w:tcW w:w="1440" w:type="dxa"/>
            <w:tcBorders>
              <w:top w:val="nil"/>
              <w:left w:val="nil"/>
              <w:bottom w:val="nil"/>
              <w:right w:val="nil"/>
            </w:tcBorders>
            <w:shd w:val="clear" w:color="auto" w:fill="auto"/>
            <w:noWrap/>
            <w:vAlign w:val="bottom"/>
            <w:hideMark/>
          </w:tcPr>
          <w:p w14:paraId="1D1F1D10"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p>
        </w:tc>
        <w:tc>
          <w:tcPr>
            <w:tcW w:w="1440" w:type="dxa"/>
            <w:tcBorders>
              <w:top w:val="nil"/>
              <w:left w:val="nil"/>
              <w:bottom w:val="nil"/>
              <w:right w:val="nil"/>
            </w:tcBorders>
            <w:shd w:val="clear" w:color="auto" w:fill="auto"/>
            <w:noWrap/>
            <w:vAlign w:val="bottom"/>
            <w:hideMark/>
          </w:tcPr>
          <w:p w14:paraId="4DAA9FE4" w14:textId="77777777" w:rsidR="006A373A" w:rsidRPr="002C0BC3" w:rsidRDefault="006A373A" w:rsidP="00D2587D">
            <w:pPr>
              <w:spacing w:after="0" w:line="240" w:lineRule="auto"/>
              <w:rPr>
                <w:rFonts w:asciiTheme="majorHAnsi" w:eastAsia="Times New Roman" w:hAnsiTheme="majorHAnsi" w:cs="Times New Roman"/>
                <w:sz w:val="20"/>
                <w:szCs w:val="20"/>
                <w:lang w:val="en-US" w:eastAsia="fr-FR"/>
              </w:rPr>
            </w:pPr>
          </w:p>
        </w:tc>
      </w:tr>
      <w:tr w:rsidR="006A373A" w:rsidRPr="00AA566D" w14:paraId="6C551FD3" w14:textId="77777777" w:rsidTr="00CE3D2F">
        <w:trPr>
          <w:trHeight w:val="227"/>
          <w:jc w:val="center"/>
        </w:trPr>
        <w:tc>
          <w:tcPr>
            <w:tcW w:w="2560" w:type="dxa"/>
            <w:tcBorders>
              <w:top w:val="nil"/>
              <w:left w:val="single" w:sz="4" w:space="0" w:color="auto"/>
              <w:bottom w:val="nil"/>
              <w:right w:val="single" w:sz="4" w:space="0" w:color="auto"/>
            </w:tcBorders>
            <w:shd w:val="clear" w:color="000000" w:fill="7B7B7B"/>
            <w:noWrap/>
            <w:vAlign w:val="bottom"/>
            <w:hideMark/>
          </w:tcPr>
          <w:p w14:paraId="09075E7A" w14:textId="77777777" w:rsidR="006A373A" w:rsidRPr="002C0BC3" w:rsidRDefault="006A373A" w:rsidP="00D2587D">
            <w:pPr>
              <w:spacing w:after="0" w:line="240" w:lineRule="auto"/>
              <w:rPr>
                <w:rFonts w:asciiTheme="majorHAnsi" w:eastAsia="Times New Roman" w:hAnsiTheme="majorHAnsi" w:cs="Times New Roman"/>
                <w:b/>
                <w:bCs/>
                <w:color w:val="FFFFFF"/>
                <w:sz w:val="20"/>
                <w:szCs w:val="20"/>
                <w:lang w:val="en-US" w:eastAsia="fr-FR"/>
              </w:rPr>
            </w:pPr>
            <w:r w:rsidRPr="002C0BC3">
              <w:rPr>
                <w:rFonts w:asciiTheme="majorHAnsi" w:eastAsia="Times New Roman" w:hAnsiTheme="majorHAnsi" w:cs="Times New Roman"/>
                <w:b/>
                <w:bCs/>
                <w:color w:val="FFFFFF"/>
                <w:sz w:val="20"/>
                <w:szCs w:val="20"/>
                <w:lang w:val="en-US" w:eastAsia="fr-FR"/>
              </w:rPr>
              <w:t>% of [15-24 years]</w:t>
            </w:r>
          </w:p>
        </w:tc>
        <w:tc>
          <w:tcPr>
            <w:tcW w:w="1440" w:type="dxa"/>
            <w:tcBorders>
              <w:top w:val="single" w:sz="4" w:space="0" w:color="auto"/>
              <w:left w:val="nil"/>
              <w:bottom w:val="nil"/>
              <w:right w:val="single" w:sz="4" w:space="0" w:color="auto"/>
            </w:tcBorders>
            <w:shd w:val="clear" w:color="000000" w:fill="7B7B7B"/>
            <w:noWrap/>
            <w:vAlign w:val="bottom"/>
            <w:hideMark/>
          </w:tcPr>
          <w:p w14:paraId="7AC0308E" w14:textId="77777777" w:rsidR="006A373A" w:rsidRPr="002C0BC3" w:rsidRDefault="006A373A" w:rsidP="00D2587D">
            <w:pPr>
              <w:spacing w:after="0" w:line="240" w:lineRule="auto"/>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 </w:t>
            </w:r>
          </w:p>
        </w:tc>
        <w:tc>
          <w:tcPr>
            <w:tcW w:w="1440" w:type="dxa"/>
            <w:tcBorders>
              <w:top w:val="single" w:sz="4" w:space="0" w:color="auto"/>
              <w:left w:val="nil"/>
              <w:bottom w:val="nil"/>
              <w:right w:val="single" w:sz="4" w:space="0" w:color="auto"/>
            </w:tcBorders>
            <w:shd w:val="clear" w:color="000000" w:fill="7B7B7B"/>
            <w:noWrap/>
            <w:vAlign w:val="bottom"/>
            <w:hideMark/>
          </w:tcPr>
          <w:p w14:paraId="3A13A74E" w14:textId="77777777" w:rsidR="006A373A" w:rsidRPr="002C0BC3" w:rsidRDefault="006A373A" w:rsidP="00D2587D">
            <w:pPr>
              <w:spacing w:after="0" w:line="240" w:lineRule="auto"/>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 </w:t>
            </w:r>
          </w:p>
        </w:tc>
        <w:tc>
          <w:tcPr>
            <w:tcW w:w="1440" w:type="dxa"/>
            <w:tcBorders>
              <w:top w:val="single" w:sz="4" w:space="0" w:color="auto"/>
              <w:left w:val="nil"/>
              <w:bottom w:val="nil"/>
              <w:right w:val="single" w:sz="4" w:space="0" w:color="auto"/>
            </w:tcBorders>
            <w:shd w:val="clear" w:color="000000" w:fill="7B7B7B"/>
            <w:noWrap/>
            <w:vAlign w:val="bottom"/>
            <w:hideMark/>
          </w:tcPr>
          <w:p w14:paraId="1F062E95" w14:textId="77777777" w:rsidR="006A373A" w:rsidRPr="002C0BC3" w:rsidRDefault="006A373A" w:rsidP="00D2587D">
            <w:pPr>
              <w:spacing w:after="0" w:line="240" w:lineRule="auto"/>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 </w:t>
            </w:r>
          </w:p>
        </w:tc>
        <w:tc>
          <w:tcPr>
            <w:tcW w:w="1440" w:type="dxa"/>
            <w:tcBorders>
              <w:top w:val="single" w:sz="4" w:space="0" w:color="auto"/>
              <w:left w:val="nil"/>
              <w:bottom w:val="nil"/>
              <w:right w:val="single" w:sz="4" w:space="0" w:color="auto"/>
            </w:tcBorders>
            <w:shd w:val="clear" w:color="000000" w:fill="7B7B7B"/>
            <w:noWrap/>
            <w:vAlign w:val="bottom"/>
            <w:hideMark/>
          </w:tcPr>
          <w:p w14:paraId="4B35DC66" w14:textId="77777777" w:rsidR="006A373A" w:rsidRPr="002C0BC3" w:rsidRDefault="006A373A" w:rsidP="00D2587D">
            <w:pPr>
              <w:spacing w:after="0" w:line="240" w:lineRule="auto"/>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 </w:t>
            </w:r>
          </w:p>
        </w:tc>
      </w:tr>
      <w:tr w:rsidR="006A373A" w:rsidRPr="00AA566D" w14:paraId="3D862F84" w14:textId="77777777" w:rsidTr="00CE3D2F">
        <w:trPr>
          <w:trHeight w:val="227"/>
          <w:jc w:val="center"/>
        </w:trPr>
        <w:tc>
          <w:tcPr>
            <w:tcW w:w="2560" w:type="dxa"/>
            <w:tcBorders>
              <w:top w:val="nil"/>
              <w:left w:val="single" w:sz="4" w:space="0" w:color="auto"/>
              <w:bottom w:val="nil"/>
              <w:right w:val="single" w:sz="4" w:space="0" w:color="auto"/>
            </w:tcBorders>
            <w:shd w:val="clear" w:color="000000" w:fill="7B7B7B"/>
            <w:noWrap/>
            <w:vAlign w:val="bottom"/>
            <w:hideMark/>
          </w:tcPr>
          <w:p w14:paraId="18B2DBA3" w14:textId="77777777" w:rsidR="006A373A" w:rsidRPr="002C0BC3" w:rsidRDefault="006A373A" w:rsidP="00D2587D">
            <w:pPr>
              <w:spacing w:after="0" w:line="240" w:lineRule="auto"/>
              <w:ind w:firstLineChars="100" w:firstLine="200"/>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Sub-Saharan Africa</w:t>
            </w:r>
          </w:p>
        </w:tc>
        <w:tc>
          <w:tcPr>
            <w:tcW w:w="1440" w:type="dxa"/>
            <w:tcBorders>
              <w:top w:val="nil"/>
              <w:left w:val="nil"/>
              <w:bottom w:val="nil"/>
              <w:right w:val="single" w:sz="4" w:space="0" w:color="auto"/>
            </w:tcBorders>
            <w:shd w:val="clear" w:color="000000" w:fill="7B7B7B"/>
            <w:noWrap/>
            <w:vAlign w:val="bottom"/>
            <w:hideMark/>
          </w:tcPr>
          <w:p w14:paraId="20A0CAF7"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19,7%</w:t>
            </w:r>
          </w:p>
        </w:tc>
        <w:tc>
          <w:tcPr>
            <w:tcW w:w="1440" w:type="dxa"/>
            <w:tcBorders>
              <w:top w:val="nil"/>
              <w:left w:val="nil"/>
              <w:bottom w:val="nil"/>
              <w:right w:val="single" w:sz="4" w:space="0" w:color="auto"/>
            </w:tcBorders>
            <w:shd w:val="clear" w:color="000000" w:fill="7B7B7B"/>
            <w:noWrap/>
            <w:vAlign w:val="bottom"/>
            <w:hideMark/>
          </w:tcPr>
          <w:p w14:paraId="53973BE6"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19,9%</w:t>
            </w:r>
          </w:p>
        </w:tc>
        <w:tc>
          <w:tcPr>
            <w:tcW w:w="1440" w:type="dxa"/>
            <w:tcBorders>
              <w:top w:val="nil"/>
              <w:left w:val="nil"/>
              <w:bottom w:val="nil"/>
              <w:right w:val="single" w:sz="4" w:space="0" w:color="auto"/>
            </w:tcBorders>
            <w:shd w:val="clear" w:color="000000" w:fill="7B7B7B"/>
            <w:noWrap/>
            <w:vAlign w:val="bottom"/>
            <w:hideMark/>
          </w:tcPr>
          <w:p w14:paraId="6BE1BC0C"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20,0%</w:t>
            </w:r>
          </w:p>
        </w:tc>
        <w:tc>
          <w:tcPr>
            <w:tcW w:w="1440" w:type="dxa"/>
            <w:tcBorders>
              <w:top w:val="nil"/>
              <w:left w:val="nil"/>
              <w:bottom w:val="nil"/>
              <w:right w:val="single" w:sz="4" w:space="0" w:color="auto"/>
            </w:tcBorders>
            <w:shd w:val="clear" w:color="000000" w:fill="7B7B7B"/>
            <w:noWrap/>
            <w:vAlign w:val="bottom"/>
            <w:hideMark/>
          </w:tcPr>
          <w:p w14:paraId="4DF7FBDD"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20,1%</w:t>
            </w:r>
          </w:p>
        </w:tc>
      </w:tr>
      <w:tr w:rsidR="006A373A" w:rsidRPr="00AA566D" w14:paraId="5A6AEBAB" w14:textId="77777777" w:rsidTr="00CE3D2F">
        <w:trPr>
          <w:trHeight w:val="227"/>
          <w:jc w:val="center"/>
        </w:trPr>
        <w:tc>
          <w:tcPr>
            <w:tcW w:w="2560" w:type="dxa"/>
            <w:tcBorders>
              <w:top w:val="nil"/>
              <w:left w:val="single" w:sz="4" w:space="0" w:color="auto"/>
              <w:bottom w:val="nil"/>
              <w:right w:val="single" w:sz="4" w:space="0" w:color="auto"/>
            </w:tcBorders>
            <w:shd w:val="clear" w:color="000000" w:fill="7B7B7B"/>
            <w:noWrap/>
            <w:vAlign w:val="bottom"/>
            <w:hideMark/>
          </w:tcPr>
          <w:p w14:paraId="5FD9B9D0" w14:textId="77777777" w:rsidR="006A373A" w:rsidRPr="002C0BC3" w:rsidRDefault="006A373A" w:rsidP="00D2587D">
            <w:pPr>
              <w:spacing w:after="0" w:line="240" w:lineRule="auto"/>
              <w:ind w:firstLineChars="100" w:firstLine="200"/>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Western &amp; Central Africa</w:t>
            </w:r>
          </w:p>
        </w:tc>
        <w:tc>
          <w:tcPr>
            <w:tcW w:w="1440" w:type="dxa"/>
            <w:tcBorders>
              <w:top w:val="nil"/>
              <w:left w:val="nil"/>
              <w:bottom w:val="nil"/>
              <w:right w:val="single" w:sz="4" w:space="0" w:color="auto"/>
            </w:tcBorders>
            <w:shd w:val="clear" w:color="000000" w:fill="7B7B7B"/>
            <w:noWrap/>
            <w:vAlign w:val="bottom"/>
            <w:hideMark/>
          </w:tcPr>
          <w:p w14:paraId="3EBA38C1"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19,2%</w:t>
            </w:r>
          </w:p>
        </w:tc>
        <w:tc>
          <w:tcPr>
            <w:tcW w:w="1440" w:type="dxa"/>
            <w:tcBorders>
              <w:top w:val="nil"/>
              <w:left w:val="nil"/>
              <w:bottom w:val="nil"/>
              <w:right w:val="single" w:sz="4" w:space="0" w:color="auto"/>
            </w:tcBorders>
            <w:shd w:val="clear" w:color="000000" w:fill="7B7B7B"/>
            <w:noWrap/>
            <w:vAlign w:val="bottom"/>
            <w:hideMark/>
          </w:tcPr>
          <w:p w14:paraId="092015F0"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19,6%</w:t>
            </w:r>
          </w:p>
        </w:tc>
        <w:tc>
          <w:tcPr>
            <w:tcW w:w="1440" w:type="dxa"/>
            <w:tcBorders>
              <w:top w:val="nil"/>
              <w:left w:val="nil"/>
              <w:bottom w:val="nil"/>
              <w:right w:val="single" w:sz="4" w:space="0" w:color="auto"/>
            </w:tcBorders>
            <w:shd w:val="clear" w:color="000000" w:fill="7B7B7B"/>
            <w:noWrap/>
            <w:vAlign w:val="bottom"/>
            <w:hideMark/>
          </w:tcPr>
          <w:p w14:paraId="2EF65927"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20,0%</w:t>
            </w:r>
          </w:p>
        </w:tc>
        <w:tc>
          <w:tcPr>
            <w:tcW w:w="1440" w:type="dxa"/>
            <w:tcBorders>
              <w:top w:val="nil"/>
              <w:left w:val="nil"/>
              <w:bottom w:val="nil"/>
              <w:right w:val="single" w:sz="4" w:space="0" w:color="auto"/>
            </w:tcBorders>
            <w:shd w:val="clear" w:color="000000" w:fill="7B7B7B"/>
            <w:noWrap/>
            <w:vAlign w:val="bottom"/>
            <w:hideMark/>
          </w:tcPr>
          <w:p w14:paraId="3BC6F327"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20,3%</w:t>
            </w:r>
          </w:p>
        </w:tc>
      </w:tr>
      <w:tr w:rsidR="006A373A" w:rsidRPr="00AA566D" w14:paraId="28C031BB" w14:textId="77777777" w:rsidTr="00CE3D2F">
        <w:trPr>
          <w:trHeight w:val="227"/>
          <w:jc w:val="center"/>
        </w:trPr>
        <w:tc>
          <w:tcPr>
            <w:tcW w:w="2560" w:type="dxa"/>
            <w:tcBorders>
              <w:top w:val="nil"/>
              <w:left w:val="single" w:sz="4" w:space="0" w:color="auto"/>
              <w:bottom w:val="single" w:sz="4" w:space="0" w:color="auto"/>
              <w:right w:val="single" w:sz="4" w:space="0" w:color="auto"/>
            </w:tcBorders>
            <w:shd w:val="clear" w:color="000000" w:fill="7B7B7B"/>
            <w:noWrap/>
            <w:vAlign w:val="bottom"/>
            <w:hideMark/>
          </w:tcPr>
          <w:p w14:paraId="52DFEA6B" w14:textId="77777777" w:rsidR="006A373A" w:rsidRPr="002C0BC3" w:rsidRDefault="006A373A" w:rsidP="00D2587D">
            <w:pPr>
              <w:spacing w:after="0" w:line="240" w:lineRule="auto"/>
              <w:ind w:firstLineChars="100" w:firstLine="200"/>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World</w:t>
            </w:r>
          </w:p>
        </w:tc>
        <w:tc>
          <w:tcPr>
            <w:tcW w:w="1440" w:type="dxa"/>
            <w:tcBorders>
              <w:top w:val="nil"/>
              <w:left w:val="nil"/>
              <w:bottom w:val="single" w:sz="4" w:space="0" w:color="auto"/>
              <w:right w:val="single" w:sz="4" w:space="0" w:color="auto"/>
            </w:tcBorders>
            <w:shd w:val="clear" w:color="000000" w:fill="7B7B7B"/>
            <w:noWrap/>
            <w:vAlign w:val="bottom"/>
            <w:hideMark/>
          </w:tcPr>
          <w:p w14:paraId="7330E8E7"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16,2%</w:t>
            </w:r>
          </w:p>
        </w:tc>
        <w:tc>
          <w:tcPr>
            <w:tcW w:w="1440" w:type="dxa"/>
            <w:tcBorders>
              <w:top w:val="nil"/>
              <w:left w:val="nil"/>
              <w:bottom w:val="single" w:sz="4" w:space="0" w:color="auto"/>
              <w:right w:val="single" w:sz="4" w:space="0" w:color="auto"/>
            </w:tcBorders>
            <w:shd w:val="clear" w:color="000000" w:fill="7B7B7B"/>
            <w:noWrap/>
            <w:vAlign w:val="bottom"/>
            <w:hideMark/>
          </w:tcPr>
          <w:p w14:paraId="3663E48C"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15,4%</w:t>
            </w:r>
          </w:p>
        </w:tc>
        <w:tc>
          <w:tcPr>
            <w:tcW w:w="1440" w:type="dxa"/>
            <w:tcBorders>
              <w:top w:val="nil"/>
              <w:left w:val="nil"/>
              <w:bottom w:val="single" w:sz="4" w:space="0" w:color="auto"/>
              <w:right w:val="single" w:sz="4" w:space="0" w:color="auto"/>
            </w:tcBorders>
            <w:shd w:val="clear" w:color="000000" w:fill="7B7B7B"/>
            <w:noWrap/>
            <w:vAlign w:val="bottom"/>
            <w:hideMark/>
          </w:tcPr>
          <w:p w14:paraId="3143A7CD"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15,2%</w:t>
            </w:r>
          </w:p>
        </w:tc>
        <w:tc>
          <w:tcPr>
            <w:tcW w:w="1440" w:type="dxa"/>
            <w:tcBorders>
              <w:top w:val="nil"/>
              <w:left w:val="nil"/>
              <w:bottom w:val="single" w:sz="4" w:space="0" w:color="auto"/>
              <w:right w:val="single" w:sz="4" w:space="0" w:color="auto"/>
            </w:tcBorders>
            <w:shd w:val="clear" w:color="000000" w:fill="7B7B7B"/>
            <w:noWrap/>
            <w:vAlign w:val="bottom"/>
            <w:hideMark/>
          </w:tcPr>
          <w:p w14:paraId="0B892E41"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15,2%</w:t>
            </w:r>
          </w:p>
        </w:tc>
      </w:tr>
      <w:tr w:rsidR="006A373A" w:rsidRPr="00AA566D" w14:paraId="2061D9AC" w14:textId="77777777" w:rsidTr="00CE3D2F">
        <w:trPr>
          <w:trHeight w:val="227"/>
          <w:jc w:val="center"/>
        </w:trPr>
        <w:tc>
          <w:tcPr>
            <w:tcW w:w="2560" w:type="dxa"/>
            <w:tcBorders>
              <w:top w:val="nil"/>
              <w:left w:val="single" w:sz="4" w:space="0" w:color="auto"/>
              <w:bottom w:val="nil"/>
              <w:right w:val="single" w:sz="4" w:space="0" w:color="auto"/>
            </w:tcBorders>
            <w:shd w:val="clear" w:color="000000" w:fill="7B7B7B"/>
            <w:noWrap/>
            <w:vAlign w:val="bottom"/>
            <w:hideMark/>
          </w:tcPr>
          <w:p w14:paraId="70409CA9" w14:textId="77777777" w:rsidR="006A373A" w:rsidRPr="002C0BC3" w:rsidRDefault="006A373A" w:rsidP="00D2587D">
            <w:pPr>
              <w:spacing w:after="0" w:line="240" w:lineRule="auto"/>
              <w:rPr>
                <w:rFonts w:asciiTheme="majorHAnsi" w:eastAsia="Times New Roman" w:hAnsiTheme="majorHAnsi" w:cs="Times New Roman"/>
                <w:b/>
                <w:bCs/>
                <w:color w:val="FFFFFF"/>
                <w:sz w:val="20"/>
                <w:szCs w:val="20"/>
                <w:lang w:val="en-US" w:eastAsia="fr-FR"/>
              </w:rPr>
            </w:pPr>
            <w:r w:rsidRPr="002C0BC3">
              <w:rPr>
                <w:rFonts w:asciiTheme="majorHAnsi" w:eastAsia="Times New Roman" w:hAnsiTheme="majorHAnsi" w:cs="Times New Roman"/>
                <w:b/>
                <w:bCs/>
                <w:color w:val="FFFFFF"/>
                <w:sz w:val="20"/>
                <w:szCs w:val="20"/>
                <w:lang w:val="en-US" w:eastAsia="fr-FR"/>
              </w:rPr>
              <w:t>% of [0-24 years]</w:t>
            </w:r>
          </w:p>
        </w:tc>
        <w:tc>
          <w:tcPr>
            <w:tcW w:w="1440" w:type="dxa"/>
            <w:tcBorders>
              <w:top w:val="nil"/>
              <w:left w:val="nil"/>
              <w:bottom w:val="nil"/>
              <w:right w:val="single" w:sz="4" w:space="0" w:color="auto"/>
            </w:tcBorders>
            <w:shd w:val="clear" w:color="000000" w:fill="7B7B7B"/>
            <w:noWrap/>
            <w:vAlign w:val="bottom"/>
            <w:hideMark/>
          </w:tcPr>
          <w:p w14:paraId="79C6F567" w14:textId="77777777" w:rsidR="006A373A" w:rsidRPr="002C0BC3" w:rsidRDefault="006A373A" w:rsidP="00D2587D">
            <w:pPr>
              <w:spacing w:after="0" w:line="240" w:lineRule="auto"/>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 </w:t>
            </w:r>
          </w:p>
        </w:tc>
        <w:tc>
          <w:tcPr>
            <w:tcW w:w="1440" w:type="dxa"/>
            <w:tcBorders>
              <w:top w:val="nil"/>
              <w:left w:val="nil"/>
              <w:bottom w:val="nil"/>
              <w:right w:val="single" w:sz="4" w:space="0" w:color="auto"/>
            </w:tcBorders>
            <w:shd w:val="clear" w:color="000000" w:fill="7B7B7B"/>
            <w:noWrap/>
            <w:vAlign w:val="bottom"/>
            <w:hideMark/>
          </w:tcPr>
          <w:p w14:paraId="60C173EA" w14:textId="77777777" w:rsidR="006A373A" w:rsidRPr="002C0BC3" w:rsidRDefault="006A373A" w:rsidP="00D2587D">
            <w:pPr>
              <w:spacing w:after="0" w:line="240" w:lineRule="auto"/>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 </w:t>
            </w:r>
          </w:p>
        </w:tc>
        <w:tc>
          <w:tcPr>
            <w:tcW w:w="1440" w:type="dxa"/>
            <w:tcBorders>
              <w:top w:val="nil"/>
              <w:left w:val="nil"/>
              <w:bottom w:val="nil"/>
              <w:right w:val="single" w:sz="4" w:space="0" w:color="auto"/>
            </w:tcBorders>
            <w:shd w:val="clear" w:color="000000" w:fill="7B7B7B"/>
            <w:noWrap/>
            <w:vAlign w:val="bottom"/>
            <w:hideMark/>
          </w:tcPr>
          <w:p w14:paraId="7888CFD1" w14:textId="77777777" w:rsidR="006A373A" w:rsidRPr="002C0BC3" w:rsidRDefault="006A373A" w:rsidP="00D2587D">
            <w:pPr>
              <w:spacing w:after="0" w:line="240" w:lineRule="auto"/>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 </w:t>
            </w:r>
          </w:p>
        </w:tc>
        <w:tc>
          <w:tcPr>
            <w:tcW w:w="1440" w:type="dxa"/>
            <w:tcBorders>
              <w:top w:val="nil"/>
              <w:left w:val="nil"/>
              <w:bottom w:val="nil"/>
              <w:right w:val="single" w:sz="4" w:space="0" w:color="auto"/>
            </w:tcBorders>
            <w:shd w:val="clear" w:color="000000" w:fill="7B7B7B"/>
            <w:noWrap/>
            <w:vAlign w:val="bottom"/>
            <w:hideMark/>
          </w:tcPr>
          <w:p w14:paraId="33996FC6" w14:textId="77777777" w:rsidR="006A373A" w:rsidRPr="002C0BC3" w:rsidRDefault="006A373A" w:rsidP="00D2587D">
            <w:pPr>
              <w:spacing w:after="0" w:line="240" w:lineRule="auto"/>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 </w:t>
            </w:r>
          </w:p>
        </w:tc>
      </w:tr>
      <w:tr w:rsidR="006A373A" w:rsidRPr="00AA566D" w14:paraId="34D62536" w14:textId="77777777" w:rsidTr="00CE3D2F">
        <w:trPr>
          <w:trHeight w:val="227"/>
          <w:jc w:val="center"/>
        </w:trPr>
        <w:tc>
          <w:tcPr>
            <w:tcW w:w="2560" w:type="dxa"/>
            <w:tcBorders>
              <w:top w:val="nil"/>
              <w:left w:val="single" w:sz="4" w:space="0" w:color="auto"/>
              <w:bottom w:val="nil"/>
              <w:right w:val="single" w:sz="4" w:space="0" w:color="auto"/>
            </w:tcBorders>
            <w:shd w:val="clear" w:color="000000" w:fill="7B7B7B"/>
            <w:noWrap/>
            <w:vAlign w:val="bottom"/>
            <w:hideMark/>
          </w:tcPr>
          <w:p w14:paraId="64E84DAF" w14:textId="77777777" w:rsidR="006A373A" w:rsidRPr="002C0BC3" w:rsidRDefault="006A373A" w:rsidP="00D2587D">
            <w:pPr>
              <w:spacing w:after="0" w:line="240" w:lineRule="auto"/>
              <w:ind w:firstLineChars="100" w:firstLine="200"/>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Sub-Saharan Africa</w:t>
            </w:r>
          </w:p>
        </w:tc>
        <w:tc>
          <w:tcPr>
            <w:tcW w:w="1440" w:type="dxa"/>
            <w:tcBorders>
              <w:top w:val="nil"/>
              <w:left w:val="nil"/>
              <w:bottom w:val="nil"/>
              <w:right w:val="single" w:sz="4" w:space="0" w:color="auto"/>
            </w:tcBorders>
            <w:shd w:val="clear" w:color="000000" w:fill="7B7B7B"/>
            <w:noWrap/>
            <w:vAlign w:val="bottom"/>
            <w:hideMark/>
          </w:tcPr>
          <w:p w14:paraId="3EF9273D"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62,8%</w:t>
            </w:r>
          </w:p>
        </w:tc>
        <w:tc>
          <w:tcPr>
            <w:tcW w:w="1440" w:type="dxa"/>
            <w:tcBorders>
              <w:top w:val="nil"/>
              <w:left w:val="nil"/>
              <w:bottom w:val="nil"/>
              <w:right w:val="single" w:sz="4" w:space="0" w:color="auto"/>
            </w:tcBorders>
            <w:shd w:val="clear" w:color="000000" w:fill="7B7B7B"/>
            <w:noWrap/>
            <w:vAlign w:val="bottom"/>
            <w:hideMark/>
          </w:tcPr>
          <w:p w14:paraId="776321E1"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61,9%</w:t>
            </w:r>
          </w:p>
        </w:tc>
        <w:tc>
          <w:tcPr>
            <w:tcW w:w="1440" w:type="dxa"/>
            <w:tcBorders>
              <w:top w:val="nil"/>
              <w:left w:val="nil"/>
              <w:bottom w:val="nil"/>
              <w:right w:val="single" w:sz="4" w:space="0" w:color="auto"/>
            </w:tcBorders>
            <w:shd w:val="clear" w:color="000000" w:fill="7B7B7B"/>
            <w:noWrap/>
            <w:vAlign w:val="bottom"/>
            <w:hideMark/>
          </w:tcPr>
          <w:p w14:paraId="3117A2F6"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60,7%</w:t>
            </w:r>
          </w:p>
        </w:tc>
        <w:tc>
          <w:tcPr>
            <w:tcW w:w="1440" w:type="dxa"/>
            <w:tcBorders>
              <w:top w:val="nil"/>
              <w:left w:val="nil"/>
              <w:bottom w:val="nil"/>
              <w:right w:val="single" w:sz="4" w:space="0" w:color="auto"/>
            </w:tcBorders>
            <w:shd w:val="clear" w:color="000000" w:fill="7B7B7B"/>
            <w:noWrap/>
            <w:vAlign w:val="bottom"/>
            <w:hideMark/>
          </w:tcPr>
          <w:p w14:paraId="72D37255"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59,2%</w:t>
            </w:r>
          </w:p>
        </w:tc>
      </w:tr>
      <w:tr w:rsidR="006A373A" w:rsidRPr="00AA566D" w14:paraId="6A2CAB3F" w14:textId="77777777" w:rsidTr="00CE3D2F">
        <w:trPr>
          <w:trHeight w:val="227"/>
          <w:jc w:val="center"/>
        </w:trPr>
        <w:tc>
          <w:tcPr>
            <w:tcW w:w="2560" w:type="dxa"/>
            <w:tcBorders>
              <w:top w:val="nil"/>
              <w:left w:val="single" w:sz="4" w:space="0" w:color="auto"/>
              <w:bottom w:val="nil"/>
              <w:right w:val="single" w:sz="4" w:space="0" w:color="auto"/>
            </w:tcBorders>
            <w:shd w:val="clear" w:color="000000" w:fill="7B7B7B"/>
            <w:noWrap/>
            <w:vAlign w:val="bottom"/>
            <w:hideMark/>
          </w:tcPr>
          <w:p w14:paraId="165E45B0" w14:textId="77777777" w:rsidR="006A373A" w:rsidRPr="002C0BC3" w:rsidRDefault="006A373A" w:rsidP="00D2587D">
            <w:pPr>
              <w:spacing w:after="0" w:line="240" w:lineRule="auto"/>
              <w:ind w:firstLineChars="100" w:firstLine="200"/>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Western &amp; Central Africa</w:t>
            </w:r>
          </w:p>
        </w:tc>
        <w:tc>
          <w:tcPr>
            <w:tcW w:w="1440" w:type="dxa"/>
            <w:tcBorders>
              <w:top w:val="nil"/>
              <w:left w:val="nil"/>
              <w:bottom w:val="nil"/>
              <w:right w:val="single" w:sz="4" w:space="0" w:color="auto"/>
            </w:tcBorders>
            <w:shd w:val="clear" w:color="000000" w:fill="7B7B7B"/>
            <w:noWrap/>
            <w:vAlign w:val="bottom"/>
            <w:hideMark/>
          </w:tcPr>
          <w:p w14:paraId="39A425D6"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63,7%</w:t>
            </w:r>
          </w:p>
        </w:tc>
        <w:tc>
          <w:tcPr>
            <w:tcW w:w="1440" w:type="dxa"/>
            <w:tcBorders>
              <w:top w:val="nil"/>
              <w:left w:val="nil"/>
              <w:bottom w:val="nil"/>
              <w:right w:val="single" w:sz="4" w:space="0" w:color="auto"/>
            </w:tcBorders>
            <w:shd w:val="clear" w:color="000000" w:fill="7B7B7B"/>
            <w:noWrap/>
            <w:vAlign w:val="bottom"/>
            <w:hideMark/>
          </w:tcPr>
          <w:p w14:paraId="694C65B8"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63,3%</w:t>
            </w:r>
          </w:p>
        </w:tc>
        <w:tc>
          <w:tcPr>
            <w:tcW w:w="1440" w:type="dxa"/>
            <w:tcBorders>
              <w:top w:val="nil"/>
              <w:left w:val="nil"/>
              <w:bottom w:val="nil"/>
              <w:right w:val="single" w:sz="4" w:space="0" w:color="auto"/>
            </w:tcBorders>
            <w:shd w:val="clear" w:color="000000" w:fill="7B7B7B"/>
            <w:noWrap/>
            <w:vAlign w:val="bottom"/>
            <w:hideMark/>
          </w:tcPr>
          <w:p w14:paraId="32E74206"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62,5%</w:t>
            </w:r>
          </w:p>
        </w:tc>
        <w:tc>
          <w:tcPr>
            <w:tcW w:w="1440" w:type="dxa"/>
            <w:tcBorders>
              <w:top w:val="nil"/>
              <w:left w:val="nil"/>
              <w:bottom w:val="nil"/>
              <w:right w:val="single" w:sz="4" w:space="0" w:color="auto"/>
            </w:tcBorders>
            <w:shd w:val="clear" w:color="000000" w:fill="7B7B7B"/>
            <w:noWrap/>
            <w:vAlign w:val="bottom"/>
            <w:hideMark/>
          </w:tcPr>
          <w:p w14:paraId="6CDCB585"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61,3%</w:t>
            </w:r>
          </w:p>
        </w:tc>
      </w:tr>
      <w:tr w:rsidR="006A373A" w:rsidRPr="00AA566D" w14:paraId="2E12F93F" w14:textId="77777777" w:rsidTr="00CE3D2F">
        <w:trPr>
          <w:trHeight w:val="227"/>
          <w:jc w:val="center"/>
        </w:trPr>
        <w:tc>
          <w:tcPr>
            <w:tcW w:w="2560" w:type="dxa"/>
            <w:tcBorders>
              <w:top w:val="nil"/>
              <w:left w:val="single" w:sz="4" w:space="0" w:color="auto"/>
              <w:bottom w:val="single" w:sz="4" w:space="0" w:color="auto"/>
              <w:right w:val="single" w:sz="4" w:space="0" w:color="auto"/>
            </w:tcBorders>
            <w:shd w:val="clear" w:color="000000" w:fill="7B7B7B"/>
            <w:noWrap/>
            <w:vAlign w:val="bottom"/>
            <w:hideMark/>
          </w:tcPr>
          <w:p w14:paraId="4EB27A82" w14:textId="77777777" w:rsidR="006A373A" w:rsidRPr="002C0BC3" w:rsidRDefault="006A373A" w:rsidP="00D2587D">
            <w:pPr>
              <w:spacing w:after="0" w:line="240" w:lineRule="auto"/>
              <w:ind w:firstLineChars="100" w:firstLine="200"/>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World</w:t>
            </w:r>
          </w:p>
        </w:tc>
        <w:tc>
          <w:tcPr>
            <w:tcW w:w="1440" w:type="dxa"/>
            <w:tcBorders>
              <w:top w:val="nil"/>
              <w:left w:val="nil"/>
              <w:bottom w:val="single" w:sz="4" w:space="0" w:color="auto"/>
              <w:right w:val="single" w:sz="4" w:space="0" w:color="auto"/>
            </w:tcBorders>
            <w:shd w:val="clear" w:color="000000" w:fill="7B7B7B"/>
            <w:noWrap/>
            <w:vAlign w:val="bottom"/>
            <w:hideMark/>
          </w:tcPr>
          <w:p w14:paraId="3012B946"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42,3%</w:t>
            </w:r>
          </w:p>
        </w:tc>
        <w:tc>
          <w:tcPr>
            <w:tcW w:w="1440" w:type="dxa"/>
            <w:tcBorders>
              <w:top w:val="nil"/>
              <w:left w:val="nil"/>
              <w:bottom w:val="single" w:sz="4" w:space="0" w:color="auto"/>
              <w:right w:val="single" w:sz="4" w:space="0" w:color="auto"/>
            </w:tcBorders>
            <w:shd w:val="clear" w:color="000000" w:fill="7B7B7B"/>
            <w:noWrap/>
            <w:vAlign w:val="bottom"/>
            <w:hideMark/>
          </w:tcPr>
          <w:p w14:paraId="595A896C"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40,9%</w:t>
            </w:r>
          </w:p>
        </w:tc>
        <w:tc>
          <w:tcPr>
            <w:tcW w:w="1440" w:type="dxa"/>
            <w:tcBorders>
              <w:top w:val="nil"/>
              <w:left w:val="nil"/>
              <w:bottom w:val="single" w:sz="4" w:space="0" w:color="auto"/>
              <w:right w:val="single" w:sz="4" w:space="0" w:color="auto"/>
            </w:tcBorders>
            <w:shd w:val="clear" w:color="000000" w:fill="7B7B7B"/>
            <w:noWrap/>
            <w:vAlign w:val="bottom"/>
            <w:hideMark/>
          </w:tcPr>
          <w:p w14:paraId="0156C9A8"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39,8%</w:t>
            </w:r>
          </w:p>
        </w:tc>
        <w:tc>
          <w:tcPr>
            <w:tcW w:w="1440" w:type="dxa"/>
            <w:tcBorders>
              <w:top w:val="nil"/>
              <w:left w:val="nil"/>
              <w:bottom w:val="single" w:sz="4" w:space="0" w:color="auto"/>
              <w:right w:val="single" w:sz="4" w:space="0" w:color="auto"/>
            </w:tcBorders>
            <w:shd w:val="clear" w:color="000000" w:fill="7B7B7B"/>
            <w:noWrap/>
            <w:vAlign w:val="bottom"/>
            <w:hideMark/>
          </w:tcPr>
          <w:p w14:paraId="7982E834" w14:textId="77777777" w:rsidR="006A373A" w:rsidRPr="002C0BC3" w:rsidRDefault="006A373A" w:rsidP="00D2587D">
            <w:pPr>
              <w:spacing w:after="0" w:line="240" w:lineRule="auto"/>
              <w:jc w:val="right"/>
              <w:rPr>
                <w:rFonts w:asciiTheme="majorHAnsi" w:eastAsia="Times New Roman" w:hAnsiTheme="majorHAnsi" w:cs="Times New Roman"/>
                <w:color w:val="FFFFFF"/>
                <w:sz w:val="20"/>
                <w:szCs w:val="20"/>
                <w:lang w:val="en-US" w:eastAsia="fr-FR"/>
              </w:rPr>
            </w:pPr>
            <w:r w:rsidRPr="002C0BC3">
              <w:rPr>
                <w:rFonts w:asciiTheme="majorHAnsi" w:eastAsia="Times New Roman" w:hAnsiTheme="majorHAnsi" w:cs="Times New Roman"/>
                <w:color w:val="FFFFFF"/>
                <w:sz w:val="20"/>
                <w:szCs w:val="20"/>
                <w:lang w:val="en-US" w:eastAsia="fr-FR"/>
              </w:rPr>
              <w:t>38,8%</w:t>
            </w:r>
          </w:p>
        </w:tc>
      </w:tr>
    </w:tbl>
    <w:p w14:paraId="28F0A98C" w14:textId="77777777" w:rsidR="006A373A" w:rsidRPr="002C0BC3" w:rsidRDefault="006A373A" w:rsidP="00D2587D">
      <w:pPr>
        <w:spacing w:after="0" w:line="240" w:lineRule="auto"/>
        <w:ind w:left="426" w:right="425"/>
        <w:jc w:val="both"/>
        <w:rPr>
          <w:rFonts w:asciiTheme="majorHAnsi" w:hAnsiTheme="majorHAnsi" w:cs="Times New Roman"/>
          <w:sz w:val="20"/>
          <w:lang w:val="en-US"/>
        </w:rPr>
      </w:pPr>
      <w:r w:rsidRPr="002C0BC3">
        <w:rPr>
          <w:rFonts w:asciiTheme="majorHAnsi" w:hAnsiTheme="majorHAnsi" w:cs="Times New Roman"/>
          <w:sz w:val="20"/>
          <w:u w:val="single"/>
          <w:lang w:val="en-US"/>
        </w:rPr>
        <w:t>Source</w:t>
      </w:r>
      <w:r w:rsidRPr="002C0BC3">
        <w:rPr>
          <w:rFonts w:asciiTheme="majorHAnsi" w:hAnsiTheme="majorHAnsi" w:cs="Times New Roman"/>
          <w:sz w:val="20"/>
          <w:lang w:val="en-US"/>
        </w:rPr>
        <w:t>: calculations with population data from United Nations Population Division (2017). World Population Prospects: The 2017 Revision, custom data acquired via website.</w:t>
      </w:r>
    </w:p>
    <w:p w14:paraId="33A53A86" w14:textId="77777777" w:rsidR="006A373A" w:rsidRPr="00AA566D" w:rsidRDefault="006A373A" w:rsidP="00D2587D">
      <w:pPr>
        <w:spacing w:after="0" w:line="240" w:lineRule="auto"/>
        <w:jc w:val="both"/>
        <w:rPr>
          <w:rFonts w:asciiTheme="majorHAnsi" w:hAnsiTheme="majorHAnsi" w:cs="Times New Roman"/>
          <w:sz w:val="24"/>
          <w:szCs w:val="24"/>
          <w:lang w:val="en-US"/>
        </w:rPr>
      </w:pPr>
    </w:p>
    <w:p w14:paraId="64C2F846" w14:textId="21C54D03" w:rsidR="006A373A" w:rsidRPr="00AA566D" w:rsidRDefault="008E2661"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E</w:t>
      </w:r>
      <w:r w:rsidR="009578F9" w:rsidRPr="00AA566D">
        <w:rPr>
          <w:rFonts w:asciiTheme="majorHAnsi" w:hAnsiTheme="majorHAnsi" w:cs="Times New Roman"/>
          <w:sz w:val="24"/>
          <w:szCs w:val="24"/>
          <w:lang w:val="en-US"/>
        </w:rPr>
        <w:t>ducation and training remain a major challenge in this region,</w:t>
      </w:r>
      <w:r w:rsidRPr="00AA566D">
        <w:rPr>
          <w:rFonts w:asciiTheme="majorHAnsi" w:hAnsiTheme="majorHAnsi" w:cs="Times New Roman"/>
          <w:sz w:val="24"/>
          <w:szCs w:val="24"/>
          <w:lang w:val="en-US"/>
        </w:rPr>
        <w:t xml:space="preserve"> along with unemployment.</w:t>
      </w:r>
      <w:r w:rsidR="00DC3CF3" w:rsidRPr="00AA566D">
        <w:rPr>
          <w:rFonts w:asciiTheme="majorHAnsi" w:hAnsiTheme="majorHAnsi" w:cs="Times New Roman"/>
          <w:sz w:val="24"/>
          <w:szCs w:val="24"/>
          <w:lang w:val="en-US"/>
        </w:rPr>
        <w:t xml:space="preserve"> </w:t>
      </w:r>
      <w:r w:rsidRPr="00AA566D">
        <w:rPr>
          <w:rFonts w:asciiTheme="majorHAnsi" w:hAnsiTheme="majorHAnsi" w:cs="Times New Roman"/>
          <w:sz w:val="24"/>
          <w:szCs w:val="24"/>
          <w:lang w:val="en-US"/>
        </w:rPr>
        <w:t xml:space="preserve">The region has the </w:t>
      </w:r>
      <w:r w:rsidR="009578F9" w:rsidRPr="00AA566D">
        <w:rPr>
          <w:rFonts w:asciiTheme="majorHAnsi" w:hAnsiTheme="majorHAnsi" w:cs="Times New Roman"/>
          <w:sz w:val="24"/>
          <w:szCs w:val="24"/>
          <w:lang w:val="en-US"/>
        </w:rPr>
        <w:t>high proportion of young people who are not employed</w:t>
      </w:r>
      <w:r w:rsidRPr="00AA566D">
        <w:rPr>
          <w:rFonts w:asciiTheme="majorHAnsi" w:hAnsiTheme="majorHAnsi" w:cs="Times New Roman"/>
          <w:sz w:val="24"/>
          <w:szCs w:val="24"/>
          <w:lang w:val="en-US"/>
        </w:rPr>
        <w:t xml:space="preserve"> world-wide</w:t>
      </w:r>
      <w:r w:rsidR="009578F9" w:rsidRPr="00AA566D">
        <w:rPr>
          <w:rFonts w:asciiTheme="majorHAnsi" w:hAnsiTheme="majorHAnsi" w:cs="Times New Roman"/>
          <w:sz w:val="24"/>
          <w:szCs w:val="24"/>
          <w:lang w:val="en-US"/>
        </w:rPr>
        <w:t xml:space="preserve">. </w:t>
      </w:r>
      <w:r w:rsidRPr="00AA566D">
        <w:rPr>
          <w:rFonts w:asciiTheme="majorHAnsi" w:hAnsiTheme="majorHAnsi" w:cs="Times New Roman"/>
          <w:sz w:val="24"/>
          <w:szCs w:val="24"/>
          <w:lang w:val="en-US"/>
        </w:rPr>
        <w:t>The e</w:t>
      </w:r>
      <w:r w:rsidR="009578F9" w:rsidRPr="00AA566D">
        <w:rPr>
          <w:rFonts w:asciiTheme="majorHAnsi" w:hAnsiTheme="majorHAnsi" w:cs="Times New Roman"/>
          <w:sz w:val="24"/>
          <w:szCs w:val="24"/>
          <w:lang w:val="en-US"/>
        </w:rPr>
        <w:t>mployment-to-population ratio in recent years show</w:t>
      </w:r>
      <w:r w:rsidRPr="00AA566D">
        <w:rPr>
          <w:rFonts w:asciiTheme="majorHAnsi" w:hAnsiTheme="majorHAnsi" w:cs="Times New Roman"/>
          <w:sz w:val="24"/>
          <w:szCs w:val="24"/>
          <w:lang w:val="en-US"/>
        </w:rPr>
        <w:t>s</w:t>
      </w:r>
      <w:r w:rsidR="009578F9" w:rsidRPr="00AA566D">
        <w:rPr>
          <w:rFonts w:asciiTheme="majorHAnsi" w:hAnsiTheme="majorHAnsi" w:cs="Times New Roman"/>
          <w:sz w:val="24"/>
          <w:szCs w:val="24"/>
          <w:lang w:val="en-US"/>
        </w:rPr>
        <w:t xml:space="preserve"> that on average, only 62.5% of </w:t>
      </w:r>
      <w:r w:rsidRPr="00AA566D">
        <w:rPr>
          <w:rFonts w:asciiTheme="majorHAnsi" w:hAnsiTheme="majorHAnsi" w:cs="Times New Roman"/>
          <w:sz w:val="24"/>
          <w:szCs w:val="24"/>
          <w:lang w:val="en-US"/>
        </w:rPr>
        <w:t xml:space="preserve">the </w:t>
      </w:r>
      <w:r w:rsidR="009578F9" w:rsidRPr="00AA566D">
        <w:rPr>
          <w:rFonts w:asciiTheme="majorHAnsi" w:hAnsiTheme="majorHAnsi" w:cs="Times New Roman"/>
          <w:sz w:val="24"/>
          <w:szCs w:val="24"/>
          <w:lang w:val="en-US"/>
        </w:rPr>
        <w:t xml:space="preserve">working age population are employed and this figure drops to 40.9% </w:t>
      </w:r>
      <w:r w:rsidRPr="00AA566D">
        <w:rPr>
          <w:rFonts w:asciiTheme="majorHAnsi" w:hAnsiTheme="majorHAnsi" w:cs="Times New Roman"/>
          <w:sz w:val="24"/>
          <w:szCs w:val="24"/>
          <w:lang w:val="en-US"/>
        </w:rPr>
        <w:t>among youth</w:t>
      </w:r>
      <w:r w:rsidR="009578F9" w:rsidRPr="00AA566D">
        <w:rPr>
          <w:rFonts w:asciiTheme="majorHAnsi" w:hAnsiTheme="majorHAnsi" w:cs="Times New Roman"/>
          <w:sz w:val="24"/>
          <w:szCs w:val="24"/>
          <w:lang w:val="en-US"/>
        </w:rPr>
        <w:t xml:space="preserve">(see </w:t>
      </w:r>
      <w:r w:rsidRPr="00AA566D">
        <w:rPr>
          <w:rFonts w:asciiTheme="majorHAnsi" w:hAnsiTheme="majorHAnsi" w:cs="Times New Roman"/>
          <w:sz w:val="24"/>
          <w:szCs w:val="24"/>
          <w:lang w:val="en-US"/>
        </w:rPr>
        <w:t>T</w:t>
      </w:r>
      <w:r w:rsidR="006A373A" w:rsidRPr="00AA566D">
        <w:rPr>
          <w:rFonts w:asciiTheme="majorHAnsi" w:hAnsiTheme="majorHAnsi" w:cs="Times New Roman"/>
          <w:sz w:val="24"/>
          <w:szCs w:val="24"/>
          <w:lang w:val="en-US"/>
        </w:rPr>
        <w:t xml:space="preserve">able </w:t>
      </w:r>
      <w:r w:rsidR="009578F9" w:rsidRPr="00AA566D">
        <w:rPr>
          <w:rFonts w:asciiTheme="majorHAnsi" w:hAnsiTheme="majorHAnsi" w:cs="Times New Roman"/>
          <w:sz w:val="24"/>
          <w:szCs w:val="24"/>
          <w:lang w:val="en-US"/>
        </w:rPr>
        <w:t xml:space="preserve"> 2). </w:t>
      </w:r>
    </w:p>
    <w:p w14:paraId="26BB8E37" w14:textId="77777777" w:rsidR="006A373A" w:rsidRPr="00AA566D" w:rsidRDefault="006A373A" w:rsidP="00D2587D">
      <w:pPr>
        <w:spacing w:after="0" w:line="240" w:lineRule="auto"/>
        <w:jc w:val="both"/>
        <w:rPr>
          <w:rFonts w:asciiTheme="majorHAnsi" w:hAnsiTheme="majorHAnsi" w:cs="Times New Roman"/>
          <w:sz w:val="24"/>
          <w:szCs w:val="24"/>
          <w:lang w:val="en-US"/>
        </w:rPr>
      </w:pPr>
    </w:p>
    <w:p w14:paraId="044BA655" w14:textId="64D8AEC8" w:rsidR="006A373A" w:rsidRPr="002C0BC3" w:rsidRDefault="006A373A" w:rsidP="002C0BC3">
      <w:pPr>
        <w:spacing w:after="120" w:line="240" w:lineRule="auto"/>
        <w:jc w:val="both"/>
        <w:rPr>
          <w:rFonts w:asciiTheme="majorHAnsi" w:hAnsiTheme="majorHAnsi" w:cs="Times New Roman"/>
          <w:i/>
          <w:color w:val="00B0F0"/>
          <w:szCs w:val="20"/>
          <w:lang w:val="en-US"/>
        </w:rPr>
      </w:pPr>
      <w:r w:rsidRPr="002C0BC3">
        <w:rPr>
          <w:rFonts w:asciiTheme="majorHAnsi" w:hAnsiTheme="majorHAnsi" w:cs="Times New Roman"/>
          <w:i/>
          <w:color w:val="00B0F0"/>
          <w:szCs w:val="20"/>
          <w:lang w:val="en-US"/>
        </w:rPr>
        <w:t>Table 2: Employment-to-population</w:t>
      </w:r>
      <w:r w:rsidR="002C0BC3">
        <w:rPr>
          <w:rFonts w:asciiTheme="majorHAnsi" w:hAnsiTheme="majorHAnsi" w:cs="Times New Roman"/>
          <w:i/>
          <w:color w:val="00B0F0"/>
          <w:szCs w:val="20"/>
          <w:lang w:val="en-US"/>
        </w:rPr>
        <w:t xml:space="preserve"> ratio, West and Central Africa</w:t>
      </w:r>
    </w:p>
    <w:tbl>
      <w:tblPr>
        <w:tblW w:w="5000" w:type="pct"/>
        <w:jc w:val="center"/>
        <w:tblCellMar>
          <w:left w:w="70" w:type="dxa"/>
          <w:right w:w="70" w:type="dxa"/>
        </w:tblCellMar>
        <w:tblLook w:val="04A0" w:firstRow="1" w:lastRow="0" w:firstColumn="1" w:lastColumn="0" w:noHBand="0" w:noVBand="1"/>
      </w:tblPr>
      <w:tblGrid>
        <w:gridCol w:w="2246"/>
        <w:gridCol w:w="1782"/>
        <w:gridCol w:w="1678"/>
        <w:gridCol w:w="1678"/>
        <w:gridCol w:w="1678"/>
      </w:tblGrid>
      <w:tr w:rsidR="002C0BC3" w:rsidRPr="00AA566D" w14:paraId="5178943E" w14:textId="77777777" w:rsidTr="002C0BC3">
        <w:trPr>
          <w:trHeight w:val="227"/>
          <w:jc w:val="center"/>
        </w:trPr>
        <w:tc>
          <w:tcPr>
            <w:tcW w:w="1239"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4AC0B3B1" w14:textId="77777777" w:rsidR="002C0BC3" w:rsidRPr="00AA566D" w:rsidRDefault="002C0BC3" w:rsidP="00D2587D">
            <w:pPr>
              <w:spacing w:after="0" w:line="240" w:lineRule="auto"/>
              <w:rPr>
                <w:rFonts w:asciiTheme="majorHAnsi" w:eastAsia="Times New Roman" w:hAnsiTheme="majorHAnsi" w:cs="Times New Roman"/>
                <w:sz w:val="20"/>
                <w:szCs w:val="20"/>
                <w:lang w:val="en-US" w:eastAsia="fr-FR"/>
              </w:rPr>
            </w:pPr>
          </w:p>
        </w:tc>
        <w:tc>
          <w:tcPr>
            <w:tcW w:w="3761" w:type="pct"/>
            <w:gridSpan w:val="4"/>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5DBA5C6C" w14:textId="77777777" w:rsidR="002C0BC3" w:rsidRPr="00AA566D" w:rsidRDefault="002C0BC3" w:rsidP="00D2587D">
            <w:pPr>
              <w:spacing w:after="0" w:line="240" w:lineRule="auto"/>
              <w:jc w:val="center"/>
              <w:rPr>
                <w:rFonts w:asciiTheme="majorHAnsi" w:eastAsia="Times New Roman" w:hAnsiTheme="majorHAnsi" w:cs="Times New Roman"/>
                <w:color w:val="FFFFFF"/>
                <w:sz w:val="20"/>
                <w:szCs w:val="20"/>
                <w:lang w:val="en-US" w:eastAsia="fr-FR"/>
              </w:rPr>
            </w:pPr>
            <w:r w:rsidRPr="00AA566D">
              <w:rPr>
                <w:rFonts w:asciiTheme="majorHAnsi" w:eastAsia="Times New Roman" w:hAnsiTheme="majorHAnsi" w:cs="Times New Roman"/>
                <w:color w:val="FFFFFF"/>
                <w:sz w:val="20"/>
                <w:szCs w:val="20"/>
                <w:lang w:val="en-US" w:eastAsia="fr-FR"/>
              </w:rPr>
              <w:t>Employment-to-population ratio</w:t>
            </w:r>
          </w:p>
        </w:tc>
      </w:tr>
      <w:tr w:rsidR="002C0BC3" w:rsidRPr="00AA566D" w14:paraId="784D275A" w14:textId="77777777" w:rsidTr="002C0BC3">
        <w:trPr>
          <w:trHeight w:val="227"/>
          <w:jc w:val="center"/>
        </w:trPr>
        <w:tc>
          <w:tcPr>
            <w:tcW w:w="1239" w:type="pct"/>
            <w:vMerge/>
            <w:tcBorders>
              <w:top w:val="single" w:sz="4" w:space="0" w:color="auto"/>
              <w:left w:val="single" w:sz="4" w:space="0" w:color="auto"/>
              <w:bottom w:val="single" w:sz="4" w:space="0" w:color="auto"/>
              <w:right w:val="nil"/>
            </w:tcBorders>
            <w:shd w:val="clear" w:color="auto" w:fill="auto"/>
            <w:noWrap/>
            <w:vAlign w:val="center"/>
            <w:hideMark/>
          </w:tcPr>
          <w:p w14:paraId="19DBF5C7" w14:textId="77777777" w:rsidR="002C0BC3" w:rsidRPr="00AA566D" w:rsidRDefault="002C0BC3" w:rsidP="00D2587D">
            <w:pPr>
              <w:spacing w:after="0" w:line="240" w:lineRule="auto"/>
              <w:jc w:val="center"/>
              <w:rPr>
                <w:rFonts w:asciiTheme="majorHAnsi" w:eastAsia="Times New Roman" w:hAnsiTheme="majorHAnsi" w:cs="Times New Roman"/>
                <w:color w:val="FFFFFF"/>
                <w:sz w:val="20"/>
                <w:szCs w:val="20"/>
                <w:lang w:val="en-US" w:eastAsia="fr-FR"/>
              </w:rPr>
            </w:pPr>
          </w:p>
        </w:tc>
        <w:tc>
          <w:tcPr>
            <w:tcW w:w="983" w:type="pct"/>
            <w:tcBorders>
              <w:top w:val="nil"/>
              <w:left w:val="single" w:sz="4" w:space="0" w:color="auto"/>
              <w:bottom w:val="nil"/>
              <w:right w:val="single" w:sz="4" w:space="0" w:color="auto"/>
            </w:tcBorders>
            <w:shd w:val="clear" w:color="000000" w:fill="203764"/>
            <w:vAlign w:val="center"/>
            <w:hideMark/>
          </w:tcPr>
          <w:p w14:paraId="2670924F" w14:textId="77777777" w:rsidR="002C0BC3" w:rsidRPr="00AA566D" w:rsidRDefault="002C0BC3" w:rsidP="00D2587D">
            <w:pPr>
              <w:spacing w:after="0" w:line="240" w:lineRule="auto"/>
              <w:jc w:val="center"/>
              <w:rPr>
                <w:rFonts w:asciiTheme="majorHAnsi" w:eastAsia="Times New Roman" w:hAnsiTheme="majorHAnsi" w:cs="Times New Roman"/>
                <w:color w:val="FFFFFF"/>
                <w:sz w:val="20"/>
                <w:szCs w:val="20"/>
                <w:lang w:val="en-US" w:eastAsia="fr-FR"/>
              </w:rPr>
            </w:pPr>
            <w:r w:rsidRPr="00AA566D">
              <w:rPr>
                <w:rFonts w:asciiTheme="majorHAnsi" w:eastAsia="Times New Roman" w:hAnsiTheme="majorHAnsi" w:cs="Times New Roman"/>
                <w:color w:val="FFFFFF"/>
                <w:sz w:val="20"/>
                <w:szCs w:val="20"/>
                <w:lang w:val="en-US" w:eastAsia="fr-FR"/>
              </w:rPr>
              <w:t>15-64 years</w:t>
            </w:r>
          </w:p>
        </w:tc>
        <w:tc>
          <w:tcPr>
            <w:tcW w:w="926" w:type="pct"/>
            <w:tcBorders>
              <w:top w:val="nil"/>
              <w:left w:val="nil"/>
              <w:bottom w:val="nil"/>
              <w:right w:val="single" w:sz="4" w:space="0" w:color="auto"/>
            </w:tcBorders>
            <w:shd w:val="clear" w:color="000000" w:fill="203764"/>
            <w:vAlign w:val="center"/>
            <w:hideMark/>
          </w:tcPr>
          <w:p w14:paraId="47A9B152" w14:textId="77777777" w:rsidR="002C0BC3" w:rsidRPr="00AA566D" w:rsidRDefault="002C0BC3" w:rsidP="00D2587D">
            <w:pPr>
              <w:spacing w:after="0" w:line="240" w:lineRule="auto"/>
              <w:jc w:val="center"/>
              <w:rPr>
                <w:rFonts w:asciiTheme="majorHAnsi" w:eastAsia="Times New Roman" w:hAnsiTheme="majorHAnsi" w:cs="Times New Roman"/>
                <w:color w:val="FFFFFF"/>
                <w:sz w:val="20"/>
                <w:szCs w:val="20"/>
                <w:lang w:val="en-US" w:eastAsia="fr-FR"/>
              </w:rPr>
            </w:pPr>
            <w:r w:rsidRPr="00AA566D">
              <w:rPr>
                <w:rFonts w:asciiTheme="majorHAnsi" w:eastAsia="Times New Roman" w:hAnsiTheme="majorHAnsi" w:cs="Times New Roman"/>
                <w:color w:val="FFFFFF"/>
                <w:sz w:val="20"/>
                <w:szCs w:val="20"/>
                <w:lang w:val="en-US" w:eastAsia="fr-FR"/>
              </w:rPr>
              <w:t>15-24 years</w:t>
            </w:r>
          </w:p>
        </w:tc>
        <w:tc>
          <w:tcPr>
            <w:tcW w:w="926" w:type="pct"/>
            <w:tcBorders>
              <w:top w:val="nil"/>
              <w:left w:val="nil"/>
              <w:bottom w:val="nil"/>
              <w:right w:val="single" w:sz="4" w:space="0" w:color="auto"/>
            </w:tcBorders>
            <w:shd w:val="clear" w:color="000000" w:fill="203764"/>
            <w:vAlign w:val="center"/>
            <w:hideMark/>
          </w:tcPr>
          <w:p w14:paraId="540481B6" w14:textId="77777777" w:rsidR="002C0BC3" w:rsidRPr="00AA566D" w:rsidRDefault="002C0BC3" w:rsidP="00D2587D">
            <w:pPr>
              <w:spacing w:after="0" w:line="240" w:lineRule="auto"/>
              <w:jc w:val="center"/>
              <w:rPr>
                <w:rFonts w:asciiTheme="majorHAnsi" w:eastAsia="Times New Roman" w:hAnsiTheme="majorHAnsi" w:cs="Times New Roman"/>
                <w:color w:val="FFFFFF"/>
                <w:sz w:val="20"/>
                <w:szCs w:val="20"/>
                <w:lang w:val="en-US" w:eastAsia="fr-FR"/>
              </w:rPr>
            </w:pPr>
            <w:r w:rsidRPr="00AA566D">
              <w:rPr>
                <w:rFonts w:asciiTheme="majorHAnsi" w:eastAsia="Times New Roman" w:hAnsiTheme="majorHAnsi" w:cs="Times New Roman"/>
                <w:color w:val="FFFFFF"/>
                <w:sz w:val="20"/>
                <w:szCs w:val="20"/>
                <w:lang w:val="en-US" w:eastAsia="fr-FR"/>
              </w:rPr>
              <w:t>15 years and over</w:t>
            </w:r>
          </w:p>
        </w:tc>
        <w:tc>
          <w:tcPr>
            <w:tcW w:w="926" w:type="pct"/>
            <w:tcBorders>
              <w:top w:val="nil"/>
              <w:left w:val="nil"/>
              <w:bottom w:val="nil"/>
              <w:right w:val="single" w:sz="4" w:space="0" w:color="auto"/>
            </w:tcBorders>
            <w:shd w:val="clear" w:color="000000" w:fill="203764"/>
            <w:vAlign w:val="center"/>
            <w:hideMark/>
          </w:tcPr>
          <w:p w14:paraId="4BF104AC" w14:textId="77777777" w:rsidR="002C0BC3" w:rsidRPr="00AA566D" w:rsidRDefault="002C0BC3" w:rsidP="00D2587D">
            <w:pPr>
              <w:spacing w:after="0" w:line="240" w:lineRule="auto"/>
              <w:jc w:val="center"/>
              <w:rPr>
                <w:rFonts w:asciiTheme="majorHAnsi" w:eastAsia="Times New Roman" w:hAnsiTheme="majorHAnsi" w:cs="Times New Roman"/>
                <w:color w:val="FFFFFF"/>
                <w:sz w:val="20"/>
                <w:szCs w:val="20"/>
                <w:lang w:val="en-US" w:eastAsia="fr-FR"/>
              </w:rPr>
            </w:pPr>
            <w:r w:rsidRPr="00AA566D">
              <w:rPr>
                <w:rFonts w:asciiTheme="majorHAnsi" w:eastAsia="Times New Roman" w:hAnsiTheme="majorHAnsi" w:cs="Times New Roman"/>
                <w:color w:val="FFFFFF"/>
                <w:sz w:val="20"/>
                <w:szCs w:val="20"/>
                <w:lang w:val="en-US" w:eastAsia="fr-FR"/>
              </w:rPr>
              <w:t>25 years and over</w:t>
            </w:r>
          </w:p>
        </w:tc>
      </w:tr>
      <w:tr w:rsidR="006A373A" w:rsidRPr="00AA566D" w14:paraId="5D931B95" w14:textId="77777777" w:rsidTr="002C0BC3">
        <w:trPr>
          <w:trHeight w:val="227"/>
          <w:jc w:val="center"/>
        </w:trPr>
        <w:tc>
          <w:tcPr>
            <w:tcW w:w="1239" w:type="pct"/>
            <w:tcBorders>
              <w:top w:val="single" w:sz="4" w:space="0" w:color="auto"/>
              <w:left w:val="single" w:sz="4" w:space="0" w:color="auto"/>
              <w:bottom w:val="nil"/>
              <w:right w:val="nil"/>
            </w:tcBorders>
            <w:shd w:val="clear" w:color="auto" w:fill="auto"/>
            <w:noWrap/>
            <w:vAlign w:val="center"/>
            <w:hideMark/>
          </w:tcPr>
          <w:p w14:paraId="42EBA4FA"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Benin 2011</w:t>
            </w:r>
          </w:p>
        </w:tc>
        <w:tc>
          <w:tcPr>
            <w:tcW w:w="983" w:type="pct"/>
            <w:tcBorders>
              <w:top w:val="single" w:sz="4" w:space="0" w:color="auto"/>
              <w:left w:val="single" w:sz="4" w:space="0" w:color="auto"/>
              <w:bottom w:val="nil"/>
              <w:right w:val="single" w:sz="4" w:space="0" w:color="auto"/>
            </w:tcBorders>
            <w:shd w:val="clear" w:color="auto" w:fill="auto"/>
            <w:noWrap/>
            <w:vAlign w:val="center"/>
            <w:hideMark/>
          </w:tcPr>
          <w:p w14:paraId="6524D94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70,8%</w:t>
            </w:r>
          </w:p>
        </w:tc>
        <w:tc>
          <w:tcPr>
            <w:tcW w:w="926" w:type="pct"/>
            <w:tcBorders>
              <w:top w:val="single" w:sz="4" w:space="0" w:color="auto"/>
              <w:left w:val="nil"/>
              <w:bottom w:val="nil"/>
              <w:right w:val="nil"/>
            </w:tcBorders>
            <w:shd w:val="clear" w:color="auto" w:fill="auto"/>
            <w:noWrap/>
            <w:vAlign w:val="center"/>
            <w:hideMark/>
          </w:tcPr>
          <w:p w14:paraId="51B00CB9"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40,6%</w:t>
            </w:r>
          </w:p>
        </w:tc>
        <w:tc>
          <w:tcPr>
            <w:tcW w:w="926" w:type="pct"/>
            <w:tcBorders>
              <w:top w:val="single" w:sz="4" w:space="0" w:color="auto"/>
              <w:left w:val="single" w:sz="4" w:space="0" w:color="auto"/>
              <w:bottom w:val="nil"/>
              <w:right w:val="single" w:sz="4" w:space="0" w:color="auto"/>
            </w:tcBorders>
            <w:shd w:val="clear" w:color="auto" w:fill="auto"/>
            <w:noWrap/>
            <w:vAlign w:val="center"/>
            <w:hideMark/>
          </w:tcPr>
          <w:p w14:paraId="69E4FB2F"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70,0%</w:t>
            </w:r>
          </w:p>
        </w:tc>
        <w:tc>
          <w:tcPr>
            <w:tcW w:w="926" w:type="pct"/>
            <w:tcBorders>
              <w:top w:val="single" w:sz="4" w:space="0" w:color="auto"/>
              <w:left w:val="nil"/>
              <w:bottom w:val="nil"/>
              <w:right w:val="single" w:sz="4" w:space="0" w:color="auto"/>
            </w:tcBorders>
            <w:shd w:val="clear" w:color="auto" w:fill="auto"/>
            <w:noWrap/>
            <w:vAlign w:val="center"/>
            <w:hideMark/>
          </w:tcPr>
          <w:p w14:paraId="10851C1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83,3%</w:t>
            </w:r>
          </w:p>
        </w:tc>
      </w:tr>
      <w:tr w:rsidR="006A373A" w:rsidRPr="00AA566D" w14:paraId="2DF8F66C"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6F9607AE"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Burkina Faso 2014</w:t>
            </w:r>
          </w:p>
        </w:tc>
        <w:tc>
          <w:tcPr>
            <w:tcW w:w="983" w:type="pct"/>
            <w:tcBorders>
              <w:top w:val="nil"/>
              <w:left w:val="single" w:sz="4" w:space="0" w:color="auto"/>
              <w:bottom w:val="nil"/>
              <w:right w:val="single" w:sz="4" w:space="0" w:color="auto"/>
            </w:tcBorders>
            <w:shd w:val="clear" w:color="auto" w:fill="auto"/>
            <w:noWrap/>
            <w:vAlign w:val="center"/>
            <w:hideMark/>
          </w:tcPr>
          <w:p w14:paraId="69B1954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63,2%</w:t>
            </w:r>
          </w:p>
        </w:tc>
        <w:tc>
          <w:tcPr>
            <w:tcW w:w="926" w:type="pct"/>
            <w:tcBorders>
              <w:top w:val="nil"/>
              <w:left w:val="nil"/>
              <w:bottom w:val="nil"/>
              <w:right w:val="nil"/>
            </w:tcBorders>
            <w:shd w:val="clear" w:color="auto" w:fill="auto"/>
            <w:noWrap/>
            <w:vAlign w:val="center"/>
            <w:hideMark/>
          </w:tcPr>
          <w:p w14:paraId="5CB86A08"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47,4%</w:t>
            </w:r>
          </w:p>
        </w:tc>
        <w:tc>
          <w:tcPr>
            <w:tcW w:w="926" w:type="pct"/>
            <w:tcBorders>
              <w:top w:val="nil"/>
              <w:left w:val="single" w:sz="4" w:space="0" w:color="auto"/>
              <w:bottom w:val="nil"/>
              <w:right w:val="single" w:sz="4" w:space="0" w:color="auto"/>
            </w:tcBorders>
            <w:shd w:val="clear" w:color="auto" w:fill="auto"/>
            <w:noWrap/>
            <w:vAlign w:val="center"/>
            <w:hideMark/>
          </w:tcPr>
          <w:p w14:paraId="29C89950"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61,5%</w:t>
            </w:r>
          </w:p>
        </w:tc>
        <w:tc>
          <w:tcPr>
            <w:tcW w:w="926" w:type="pct"/>
            <w:tcBorders>
              <w:top w:val="nil"/>
              <w:left w:val="nil"/>
              <w:bottom w:val="nil"/>
              <w:right w:val="single" w:sz="4" w:space="0" w:color="auto"/>
            </w:tcBorders>
            <w:shd w:val="clear" w:color="auto" w:fill="auto"/>
            <w:noWrap/>
            <w:vAlign w:val="center"/>
            <w:hideMark/>
          </w:tcPr>
          <w:p w14:paraId="0FAE54D4"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68,6%</w:t>
            </w:r>
          </w:p>
        </w:tc>
      </w:tr>
      <w:tr w:rsidR="006A373A" w:rsidRPr="00AA566D" w14:paraId="1A2F440B"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431269EC"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Cameroon 2010</w:t>
            </w:r>
          </w:p>
        </w:tc>
        <w:tc>
          <w:tcPr>
            <w:tcW w:w="983" w:type="pct"/>
            <w:tcBorders>
              <w:top w:val="nil"/>
              <w:left w:val="single" w:sz="4" w:space="0" w:color="auto"/>
              <w:bottom w:val="nil"/>
              <w:right w:val="single" w:sz="4" w:space="0" w:color="auto"/>
            </w:tcBorders>
            <w:shd w:val="clear" w:color="auto" w:fill="auto"/>
            <w:noWrap/>
            <w:vAlign w:val="center"/>
            <w:hideMark/>
          </w:tcPr>
          <w:p w14:paraId="347650A9"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73,8%</w:t>
            </w:r>
          </w:p>
        </w:tc>
        <w:tc>
          <w:tcPr>
            <w:tcW w:w="926" w:type="pct"/>
            <w:tcBorders>
              <w:top w:val="nil"/>
              <w:left w:val="nil"/>
              <w:bottom w:val="nil"/>
              <w:right w:val="nil"/>
            </w:tcBorders>
            <w:shd w:val="clear" w:color="auto" w:fill="auto"/>
            <w:noWrap/>
            <w:vAlign w:val="center"/>
            <w:hideMark/>
          </w:tcPr>
          <w:p w14:paraId="3A0139A3"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53,3%</w:t>
            </w:r>
          </w:p>
        </w:tc>
        <w:tc>
          <w:tcPr>
            <w:tcW w:w="926" w:type="pct"/>
            <w:tcBorders>
              <w:top w:val="nil"/>
              <w:left w:val="single" w:sz="4" w:space="0" w:color="auto"/>
              <w:bottom w:val="nil"/>
              <w:right w:val="single" w:sz="4" w:space="0" w:color="auto"/>
            </w:tcBorders>
            <w:shd w:val="clear" w:color="auto" w:fill="auto"/>
            <w:noWrap/>
            <w:vAlign w:val="center"/>
            <w:hideMark/>
          </w:tcPr>
          <w:p w14:paraId="5C0CFEAD"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73,1%</w:t>
            </w:r>
          </w:p>
        </w:tc>
        <w:tc>
          <w:tcPr>
            <w:tcW w:w="926" w:type="pct"/>
            <w:tcBorders>
              <w:top w:val="nil"/>
              <w:left w:val="nil"/>
              <w:bottom w:val="nil"/>
              <w:right w:val="single" w:sz="4" w:space="0" w:color="auto"/>
            </w:tcBorders>
            <w:shd w:val="clear" w:color="auto" w:fill="auto"/>
            <w:noWrap/>
            <w:vAlign w:val="center"/>
            <w:hideMark/>
          </w:tcPr>
          <w:p w14:paraId="7993123A"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83,6%</w:t>
            </w:r>
          </w:p>
        </w:tc>
      </w:tr>
      <w:tr w:rsidR="006A373A" w:rsidRPr="00AA566D" w14:paraId="6E728427"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22520EF9"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Cote d'Ivoire 2013</w:t>
            </w:r>
          </w:p>
        </w:tc>
        <w:tc>
          <w:tcPr>
            <w:tcW w:w="983" w:type="pct"/>
            <w:tcBorders>
              <w:top w:val="nil"/>
              <w:left w:val="single" w:sz="4" w:space="0" w:color="auto"/>
              <w:bottom w:val="nil"/>
              <w:right w:val="single" w:sz="4" w:space="0" w:color="auto"/>
            </w:tcBorders>
            <w:shd w:val="clear" w:color="auto" w:fill="auto"/>
            <w:noWrap/>
            <w:vAlign w:val="center"/>
            <w:hideMark/>
          </w:tcPr>
          <w:p w14:paraId="41152A0B"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na</w:t>
            </w:r>
          </w:p>
        </w:tc>
        <w:tc>
          <w:tcPr>
            <w:tcW w:w="926" w:type="pct"/>
            <w:tcBorders>
              <w:top w:val="nil"/>
              <w:left w:val="nil"/>
              <w:bottom w:val="nil"/>
              <w:right w:val="nil"/>
            </w:tcBorders>
            <w:shd w:val="clear" w:color="auto" w:fill="auto"/>
            <w:noWrap/>
            <w:vAlign w:val="center"/>
            <w:hideMark/>
          </w:tcPr>
          <w:p w14:paraId="63FABBB0"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47,6%</w:t>
            </w:r>
          </w:p>
        </w:tc>
        <w:tc>
          <w:tcPr>
            <w:tcW w:w="926" w:type="pct"/>
            <w:tcBorders>
              <w:top w:val="nil"/>
              <w:left w:val="single" w:sz="4" w:space="0" w:color="auto"/>
              <w:bottom w:val="nil"/>
              <w:right w:val="single" w:sz="4" w:space="0" w:color="auto"/>
            </w:tcBorders>
            <w:shd w:val="clear" w:color="auto" w:fill="auto"/>
            <w:noWrap/>
            <w:vAlign w:val="center"/>
            <w:hideMark/>
          </w:tcPr>
          <w:p w14:paraId="24FF4B0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72,1%</w:t>
            </w:r>
          </w:p>
        </w:tc>
        <w:tc>
          <w:tcPr>
            <w:tcW w:w="926" w:type="pct"/>
            <w:tcBorders>
              <w:top w:val="nil"/>
              <w:left w:val="nil"/>
              <w:bottom w:val="nil"/>
              <w:right w:val="single" w:sz="4" w:space="0" w:color="auto"/>
            </w:tcBorders>
            <w:shd w:val="clear" w:color="auto" w:fill="auto"/>
            <w:noWrap/>
            <w:vAlign w:val="center"/>
            <w:hideMark/>
          </w:tcPr>
          <w:p w14:paraId="70EDD0DC"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82,1%</w:t>
            </w:r>
          </w:p>
        </w:tc>
      </w:tr>
      <w:tr w:rsidR="006A373A" w:rsidRPr="00AA566D" w14:paraId="34EABC26"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3A44AC4D"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Cape Verde 2010</w:t>
            </w:r>
          </w:p>
        </w:tc>
        <w:tc>
          <w:tcPr>
            <w:tcW w:w="983" w:type="pct"/>
            <w:tcBorders>
              <w:top w:val="nil"/>
              <w:left w:val="single" w:sz="4" w:space="0" w:color="auto"/>
              <w:bottom w:val="nil"/>
              <w:right w:val="single" w:sz="4" w:space="0" w:color="auto"/>
            </w:tcBorders>
            <w:shd w:val="clear" w:color="auto" w:fill="auto"/>
            <w:noWrap/>
            <w:vAlign w:val="center"/>
            <w:hideMark/>
          </w:tcPr>
          <w:p w14:paraId="7792E19B"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na</w:t>
            </w:r>
          </w:p>
        </w:tc>
        <w:tc>
          <w:tcPr>
            <w:tcW w:w="926" w:type="pct"/>
            <w:tcBorders>
              <w:top w:val="nil"/>
              <w:left w:val="nil"/>
              <w:bottom w:val="nil"/>
              <w:right w:val="nil"/>
            </w:tcBorders>
            <w:shd w:val="clear" w:color="auto" w:fill="auto"/>
            <w:noWrap/>
            <w:vAlign w:val="center"/>
            <w:hideMark/>
          </w:tcPr>
          <w:p w14:paraId="58E5FD21"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na</w:t>
            </w:r>
          </w:p>
        </w:tc>
        <w:tc>
          <w:tcPr>
            <w:tcW w:w="926" w:type="pct"/>
            <w:tcBorders>
              <w:top w:val="nil"/>
              <w:left w:val="single" w:sz="4" w:space="0" w:color="auto"/>
              <w:bottom w:val="nil"/>
              <w:right w:val="single" w:sz="4" w:space="0" w:color="auto"/>
            </w:tcBorders>
            <w:shd w:val="clear" w:color="auto" w:fill="auto"/>
            <w:noWrap/>
            <w:vAlign w:val="center"/>
            <w:hideMark/>
          </w:tcPr>
          <w:p w14:paraId="0A2CC4B7"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52,8%</w:t>
            </w:r>
          </w:p>
        </w:tc>
        <w:tc>
          <w:tcPr>
            <w:tcW w:w="926" w:type="pct"/>
            <w:tcBorders>
              <w:top w:val="nil"/>
              <w:left w:val="nil"/>
              <w:bottom w:val="nil"/>
              <w:right w:val="single" w:sz="4" w:space="0" w:color="auto"/>
            </w:tcBorders>
            <w:shd w:val="clear" w:color="auto" w:fill="auto"/>
            <w:noWrap/>
            <w:vAlign w:val="center"/>
            <w:hideMark/>
          </w:tcPr>
          <w:p w14:paraId="72835F4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na</w:t>
            </w:r>
          </w:p>
        </w:tc>
      </w:tr>
      <w:tr w:rsidR="006A373A" w:rsidRPr="00AA566D" w14:paraId="0BC3EDCD"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2C40CECE"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Gabon 2010</w:t>
            </w:r>
          </w:p>
        </w:tc>
        <w:tc>
          <w:tcPr>
            <w:tcW w:w="983" w:type="pct"/>
            <w:tcBorders>
              <w:top w:val="nil"/>
              <w:left w:val="single" w:sz="4" w:space="0" w:color="auto"/>
              <w:bottom w:val="nil"/>
              <w:right w:val="single" w:sz="4" w:space="0" w:color="auto"/>
            </w:tcBorders>
            <w:shd w:val="clear" w:color="auto" w:fill="auto"/>
            <w:noWrap/>
            <w:vAlign w:val="center"/>
            <w:hideMark/>
          </w:tcPr>
          <w:p w14:paraId="4D4A75E0"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39,9%</w:t>
            </w:r>
          </w:p>
        </w:tc>
        <w:tc>
          <w:tcPr>
            <w:tcW w:w="926" w:type="pct"/>
            <w:tcBorders>
              <w:top w:val="nil"/>
              <w:left w:val="nil"/>
              <w:bottom w:val="nil"/>
              <w:right w:val="nil"/>
            </w:tcBorders>
            <w:shd w:val="clear" w:color="auto" w:fill="auto"/>
            <w:noWrap/>
            <w:vAlign w:val="center"/>
            <w:hideMark/>
          </w:tcPr>
          <w:p w14:paraId="3C98DF54"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11,7%</w:t>
            </w:r>
          </w:p>
        </w:tc>
        <w:tc>
          <w:tcPr>
            <w:tcW w:w="926" w:type="pct"/>
            <w:tcBorders>
              <w:top w:val="nil"/>
              <w:left w:val="single" w:sz="4" w:space="0" w:color="auto"/>
              <w:bottom w:val="nil"/>
              <w:right w:val="single" w:sz="4" w:space="0" w:color="auto"/>
            </w:tcBorders>
            <w:shd w:val="clear" w:color="auto" w:fill="auto"/>
            <w:noWrap/>
            <w:vAlign w:val="center"/>
            <w:hideMark/>
          </w:tcPr>
          <w:p w14:paraId="4FBC61E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38,8%</w:t>
            </w:r>
          </w:p>
        </w:tc>
        <w:tc>
          <w:tcPr>
            <w:tcW w:w="926" w:type="pct"/>
            <w:tcBorders>
              <w:top w:val="nil"/>
              <w:left w:val="nil"/>
              <w:bottom w:val="nil"/>
              <w:right w:val="single" w:sz="4" w:space="0" w:color="auto"/>
            </w:tcBorders>
            <w:shd w:val="clear" w:color="auto" w:fill="auto"/>
            <w:noWrap/>
            <w:vAlign w:val="center"/>
            <w:hideMark/>
          </w:tcPr>
          <w:p w14:paraId="090479DE"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52,7%</w:t>
            </w:r>
          </w:p>
        </w:tc>
      </w:tr>
      <w:tr w:rsidR="006A373A" w:rsidRPr="00AA566D" w14:paraId="0E92923F"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76869521"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Gambia 2012</w:t>
            </w:r>
          </w:p>
        </w:tc>
        <w:tc>
          <w:tcPr>
            <w:tcW w:w="983" w:type="pct"/>
            <w:tcBorders>
              <w:top w:val="nil"/>
              <w:left w:val="single" w:sz="4" w:space="0" w:color="auto"/>
              <w:bottom w:val="nil"/>
              <w:right w:val="single" w:sz="4" w:space="0" w:color="auto"/>
            </w:tcBorders>
            <w:shd w:val="clear" w:color="auto" w:fill="auto"/>
            <w:noWrap/>
            <w:vAlign w:val="center"/>
            <w:hideMark/>
          </w:tcPr>
          <w:p w14:paraId="24141404"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54,6%</w:t>
            </w:r>
          </w:p>
        </w:tc>
        <w:tc>
          <w:tcPr>
            <w:tcW w:w="926" w:type="pct"/>
            <w:tcBorders>
              <w:top w:val="nil"/>
              <w:left w:val="nil"/>
              <w:bottom w:val="nil"/>
              <w:right w:val="nil"/>
            </w:tcBorders>
            <w:shd w:val="clear" w:color="auto" w:fill="auto"/>
            <w:noWrap/>
            <w:vAlign w:val="center"/>
            <w:hideMark/>
          </w:tcPr>
          <w:p w14:paraId="3150AF33"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36,0%</w:t>
            </w:r>
          </w:p>
        </w:tc>
        <w:tc>
          <w:tcPr>
            <w:tcW w:w="926" w:type="pct"/>
            <w:tcBorders>
              <w:top w:val="nil"/>
              <w:left w:val="single" w:sz="4" w:space="0" w:color="auto"/>
              <w:bottom w:val="nil"/>
              <w:right w:val="single" w:sz="4" w:space="0" w:color="auto"/>
            </w:tcBorders>
            <w:shd w:val="clear" w:color="auto" w:fill="auto"/>
            <w:noWrap/>
            <w:vAlign w:val="center"/>
            <w:hideMark/>
          </w:tcPr>
          <w:p w14:paraId="7F5E17E2"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53,4%</w:t>
            </w:r>
          </w:p>
        </w:tc>
        <w:tc>
          <w:tcPr>
            <w:tcW w:w="926" w:type="pct"/>
            <w:tcBorders>
              <w:top w:val="nil"/>
              <w:left w:val="nil"/>
              <w:bottom w:val="nil"/>
              <w:right w:val="single" w:sz="4" w:space="0" w:color="auto"/>
            </w:tcBorders>
            <w:shd w:val="clear" w:color="auto" w:fill="auto"/>
            <w:noWrap/>
            <w:vAlign w:val="center"/>
            <w:hideMark/>
          </w:tcPr>
          <w:p w14:paraId="57C72991"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63,0%</w:t>
            </w:r>
          </w:p>
        </w:tc>
      </w:tr>
      <w:tr w:rsidR="006A373A" w:rsidRPr="00AA566D" w14:paraId="152FD91C"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280123F3"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Ghana 2013</w:t>
            </w:r>
          </w:p>
        </w:tc>
        <w:tc>
          <w:tcPr>
            <w:tcW w:w="983" w:type="pct"/>
            <w:tcBorders>
              <w:top w:val="nil"/>
              <w:left w:val="single" w:sz="4" w:space="0" w:color="auto"/>
              <w:bottom w:val="nil"/>
              <w:right w:val="single" w:sz="4" w:space="0" w:color="auto"/>
            </w:tcBorders>
            <w:shd w:val="clear" w:color="auto" w:fill="auto"/>
            <w:noWrap/>
            <w:vAlign w:val="center"/>
            <w:hideMark/>
          </w:tcPr>
          <w:p w14:paraId="4ECCE96F"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76,0%</w:t>
            </w:r>
          </w:p>
        </w:tc>
        <w:tc>
          <w:tcPr>
            <w:tcW w:w="926" w:type="pct"/>
            <w:tcBorders>
              <w:top w:val="nil"/>
              <w:left w:val="nil"/>
              <w:bottom w:val="nil"/>
              <w:right w:val="nil"/>
            </w:tcBorders>
            <w:shd w:val="clear" w:color="auto" w:fill="auto"/>
            <w:noWrap/>
            <w:vAlign w:val="center"/>
            <w:hideMark/>
          </w:tcPr>
          <w:p w14:paraId="26241E18"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51,4%</w:t>
            </w:r>
          </w:p>
        </w:tc>
        <w:tc>
          <w:tcPr>
            <w:tcW w:w="926" w:type="pct"/>
            <w:tcBorders>
              <w:top w:val="nil"/>
              <w:left w:val="single" w:sz="4" w:space="0" w:color="auto"/>
              <w:bottom w:val="nil"/>
              <w:right w:val="single" w:sz="4" w:space="0" w:color="auto"/>
            </w:tcBorders>
            <w:shd w:val="clear" w:color="auto" w:fill="auto"/>
            <w:noWrap/>
            <w:vAlign w:val="center"/>
            <w:hideMark/>
          </w:tcPr>
          <w:p w14:paraId="52A33F3B"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74,5%</w:t>
            </w:r>
          </w:p>
        </w:tc>
        <w:tc>
          <w:tcPr>
            <w:tcW w:w="926" w:type="pct"/>
            <w:tcBorders>
              <w:top w:val="nil"/>
              <w:left w:val="nil"/>
              <w:bottom w:val="nil"/>
              <w:right w:val="single" w:sz="4" w:space="0" w:color="auto"/>
            </w:tcBorders>
            <w:shd w:val="clear" w:color="auto" w:fill="auto"/>
            <w:noWrap/>
            <w:vAlign w:val="center"/>
            <w:hideMark/>
          </w:tcPr>
          <w:p w14:paraId="5BBDA35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85,1%</w:t>
            </w:r>
          </w:p>
        </w:tc>
      </w:tr>
      <w:tr w:rsidR="006A373A" w:rsidRPr="00AA566D" w14:paraId="298DB6B2"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67A8C9DB"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Liberia 2010</w:t>
            </w:r>
          </w:p>
        </w:tc>
        <w:tc>
          <w:tcPr>
            <w:tcW w:w="983" w:type="pct"/>
            <w:tcBorders>
              <w:top w:val="nil"/>
              <w:left w:val="single" w:sz="4" w:space="0" w:color="auto"/>
              <w:bottom w:val="nil"/>
              <w:right w:val="single" w:sz="4" w:space="0" w:color="auto"/>
            </w:tcBorders>
            <w:shd w:val="clear" w:color="auto" w:fill="auto"/>
            <w:noWrap/>
            <w:vAlign w:val="center"/>
            <w:hideMark/>
          </w:tcPr>
          <w:p w14:paraId="5154C9B9"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56,8%</w:t>
            </w:r>
          </w:p>
        </w:tc>
        <w:tc>
          <w:tcPr>
            <w:tcW w:w="926" w:type="pct"/>
            <w:tcBorders>
              <w:top w:val="nil"/>
              <w:left w:val="nil"/>
              <w:bottom w:val="nil"/>
              <w:right w:val="nil"/>
            </w:tcBorders>
            <w:shd w:val="clear" w:color="auto" w:fill="auto"/>
            <w:noWrap/>
            <w:vAlign w:val="center"/>
            <w:hideMark/>
          </w:tcPr>
          <w:p w14:paraId="3CCB9F04"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30,7%</w:t>
            </w:r>
          </w:p>
        </w:tc>
        <w:tc>
          <w:tcPr>
            <w:tcW w:w="926" w:type="pct"/>
            <w:tcBorders>
              <w:top w:val="nil"/>
              <w:left w:val="single" w:sz="4" w:space="0" w:color="auto"/>
              <w:bottom w:val="nil"/>
              <w:right w:val="single" w:sz="4" w:space="0" w:color="auto"/>
            </w:tcBorders>
            <w:shd w:val="clear" w:color="auto" w:fill="auto"/>
            <w:noWrap/>
            <w:vAlign w:val="center"/>
            <w:hideMark/>
          </w:tcPr>
          <w:p w14:paraId="6AA02A00"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56,3%</w:t>
            </w:r>
          </w:p>
        </w:tc>
        <w:tc>
          <w:tcPr>
            <w:tcW w:w="926" w:type="pct"/>
            <w:tcBorders>
              <w:top w:val="nil"/>
              <w:left w:val="nil"/>
              <w:bottom w:val="nil"/>
              <w:right w:val="single" w:sz="4" w:space="0" w:color="auto"/>
            </w:tcBorders>
            <w:shd w:val="clear" w:color="auto" w:fill="auto"/>
            <w:noWrap/>
            <w:vAlign w:val="center"/>
            <w:hideMark/>
          </w:tcPr>
          <w:p w14:paraId="1D784221"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67,9%</w:t>
            </w:r>
          </w:p>
        </w:tc>
      </w:tr>
      <w:tr w:rsidR="006A373A" w:rsidRPr="00AA566D" w14:paraId="042BFAC1"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3CA681D0"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Mali 2015</w:t>
            </w:r>
          </w:p>
        </w:tc>
        <w:tc>
          <w:tcPr>
            <w:tcW w:w="983" w:type="pct"/>
            <w:tcBorders>
              <w:top w:val="nil"/>
              <w:left w:val="single" w:sz="4" w:space="0" w:color="auto"/>
              <w:bottom w:val="nil"/>
              <w:right w:val="single" w:sz="4" w:space="0" w:color="auto"/>
            </w:tcBorders>
            <w:shd w:val="clear" w:color="auto" w:fill="auto"/>
            <w:noWrap/>
            <w:vAlign w:val="center"/>
            <w:hideMark/>
          </w:tcPr>
          <w:p w14:paraId="5ACED669"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67,3%</w:t>
            </w:r>
          </w:p>
        </w:tc>
        <w:tc>
          <w:tcPr>
            <w:tcW w:w="926" w:type="pct"/>
            <w:tcBorders>
              <w:top w:val="nil"/>
              <w:left w:val="nil"/>
              <w:bottom w:val="nil"/>
              <w:right w:val="nil"/>
            </w:tcBorders>
            <w:shd w:val="clear" w:color="auto" w:fill="auto"/>
            <w:noWrap/>
            <w:vAlign w:val="center"/>
            <w:hideMark/>
          </w:tcPr>
          <w:p w14:paraId="4C046FC8"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48,0%</w:t>
            </w:r>
          </w:p>
        </w:tc>
        <w:tc>
          <w:tcPr>
            <w:tcW w:w="926" w:type="pct"/>
            <w:tcBorders>
              <w:top w:val="nil"/>
              <w:left w:val="single" w:sz="4" w:space="0" w:color="auto"/>
              <w:bottom w:val="nil"/>
              <w:right w:val="single" w:sz="4" w:space="0" w:color="auto"/>
            </w:tcBorders>
            <w:shd w:val="clear" w:color="auto" w:fill="auto"/>
            <w:noWrap/>
            <w:vAlign w:val="center"/>
            <w:hideMark/>
          </w:tcPr>
          <w:p w14:paraId="61412C3D"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65,1%</w:t>
            </w:r>
          </w:p>
        </w:tc>
        <w:tc>
          <w:tcPr>
            <w:tcW w:w="926" w:type="pct"/>
            <w:tcBorders>
              <w:top w:val="nil"/>
              <w:left w:val="nil"/>
              <w:bottom w:val="nil"/>
              <w:right w:val="single" w:sz="4" w:space="0" w:color="auto"/>
            </w:tcBorders>
            <w:shd w:val="clear" w:color="auto" w:fill="auto"/>
            <w:noWrap/>
            <w:vAlign w:val="center"/>
            <w:hideMark/>
          </w:tcPr>
          <w:p w14:paraId="1C4AFF2C"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72,9%</w:t>
            </w:r>
          </w:p>
        </w:tc>
      </w:tr>
      <w:tr w:rsidR="006A373A" w:rsidRPr="00AA566D" w14:paraId="0A792AF9"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263F6155"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Mauritania 2012</w:t>
            </w:r>
          </w:p>
        </w:tc>
        <w:tc>
          <w:tcPr>
            <w:tcW w:w="983" w:type="pct"/>
            <w:tcBorders>
              <w:top w:val="nil"/>
              <w:left w:val="single" w:sz="4" w:space="0" w:color="auto"/>
              <w:bottom w:val="nil"/>
              <w:right w:val="single" w:sz="4" w:space="0" w:color="auto"/>
            </w:tcBorders>
            <w:shd w:val="clear" w:color="auto" w:fill="auto"/>
            <w:noWrap/>
            <w:vAlign w:val="center"/>
            <w:hideMark/>
          </w:tcPr>
          <w:p w14:paraId="6885BB97"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na</w:t>
            </w:r>
          </w:p>
        </w:tc>
        <w:tc>
          <w:tcPr>
            <w:tcW w:w="926" w:type="pct"/>
            <w:tcBorders>
              <w:top w:val="nil"/>
              <w:left w:val="nil"/>
              <w:bottom w:val="nil"/>
              <w:right w:val="nil"/>
            </w:tcBorders>
            <w:shd w:val="clear" w:color="auto" w:fill="auto"/>
            <w:noWrap/>
            <w:vAlign w:val="center"/>
            <w:hideMark/>
          </w:tcPr>
          <w:p w14:paraId="6D7A7528"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na</w:t>
            </w:r>
          </w:p>
        </w:tc>
        <w:tc>
          <w:tcPr>
            <w:tcW w:w="926" w:type="pct"/>
            <w:tcBorders>
              <w:top w:val="nil"/>
              <w:left w:val="single" w:sz="4" w:space="0" w:color="auto"/>
              <w:bottom w:val="nil"/>
              <w:right w:val="single" w:sz="4" w:space="0" w:color="auto"/>
            </w:tcBorders>
            <w:shd w:val="clear" w:color="auto" w:fill="auto"/>
            <w:noWrap/>
            <w:vAlign w:val="center"/>
            <w:hideMark/>
          </w:tcPr>
          <w:p w14:paraId="0DED6F8D"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40,0%</w:t>
            </w:r>
          </w:p>
        </w:tc>
        <w:tc>
          <w:tcPr>
            <w:tcW w:w="926" w:type="pct"/>
            <w:tcBorders>
              <w:top w:val="nil"/>
              <w:left w:val="nil"/>
              <w:bottom w:val="nil"/>
              <w:right w:val="single" w:sz="4" w:space="0" w:color="auto"/>
            </w:tcBorders>
            <w:shd w:val="clear" w:color="auto" w:fill="auto"/>
            <w:noWrap/>
            <w:vAlign w:val="center"/>
            <w:hideMark/>
          </w:tcPr>
          <w:p w14:paraId="68DD3CFA"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na</w:t>
            </w:r>
          </w:p>
        </w:tc>
      </w:tr>
      <w:tr w:rsidR="006A373A" w:rsidRPr="00AA566D" w14:paraId="6B7EEC24"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6572585D"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Niger 2011</w:t>
            </w:r>
          </w:p>
        </w:tc>
        <w:tc>
          <w:tcPr>
            <w:tcW w:w="983" w:type="pct"/>
            <w:tcBorders>
              <w:top w:val="nil"/>
              <w:left w:val="single" w:sz="4" w:space="0" w:color="auto"/>
              <w:bottom w:val="nil"/>
              <w:right w:val="single" w:sz="4" w:space="0" w:color="auto"/>
            </w:tcBorders>
            <w:shd w:val="clear" w:color="auto" w:fill="auto"/>
            <w:noWrap/>
            <w:vAlign w:val="center"/>
            <w:hideMark/>
          </w:tcPr>
          <w:p w14:paraId="6EB4D3AE"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80,1%</w:t>
            </w:r>
          </w:p>
        </w:tc>
        <w:tc>
          <w:tcPr>
            <w:tcW w:w="926" w:type="pct"/>
            <w:tcBorders>
              <w:top w:val="nil"/>
              <w:left w:val="nil"/>
              <w:bottom w:val="nil"/>
              <w:right w:val="nil"/>
            </w:tcBorders>
            <w:shd w:val="clear" w:color="auto" w:fill="auto"/>
            <w:noWrap/>
            <w:vAlign w:val="center"/>
            <w:hideMark/>
          </w:tcPr>
          <w:p w14:paraId="2A29A9A2"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70,0%</w:t>
            </w:r>
          </w:p>
        </w:tc>
        <w:tc>
          <w:tcPr>
            <w:tcW w:w="926" w:type="pct"/>
            <w:tcBorders>
              <w:top w:val="nil"/>
              <w:left w:val="single" w:sz="4" w:space="0" w:color="auto"/>
              <w:bottom w:val="nil"/>
              <w:right w:val="single" w:sz="4" w:space="0" w:color="auto"/>
            </w:tcBorders>
            <w:shd w:val="clear" w:color="auto" w:fill="auto"/>
            <w:noWrap/>
            <w:vAlign w:val="center"/>
            <w:hideMark/>
          </w:tcPr>
          <w:p w14:paraId="1B5D633A"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78,6%</w:t>
            </w:r>
          </w:p>
        </w:tc>
        <w:tc>
          <w:tcPr>
            <w:tcW w:w="926" w:type="pct"/>
            <w:tcBorders>
              <w:top w:val="nil"/>
              <w:left w:val="nil"/>
              <w:bottom w:val="nil"/>
              <w:right w:val="single" w:sz="4" w:space="0" w:color="auto"/>
            </w:tcBorders>
            <w:shd w:val="clear" w:color="auto" w:fill="auto"/>
            <w:noWrap/>
            <w:vAlign w:val="center"/>
            <w:hideMark/>
          </w:tcPr>
          <w:p w14:paraId="68B46476"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82,6%</w:t>
            </w:r>
          </w:p>
        </w:tc>
      </w:tr>
      <w:tr w:rsidR="006A373A" w:rsidRPr="00AA566D" w14:paraId="329195F2"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7F3602C8"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Nigeria 2013</w:t>
            </w:r>
          </w:p>
        </w:tc>
        <w:tc>
          <w:tcPr>
            <w:tcW w:w="983" w:type="pct"/>
            <w:tcBorders>
              <w:top w:val="nil"/>
              <w:left w:val="single" w:sz="4" w:space="0" w:color="auto"/>
              <w:bottom w:val="nil"/>
              <w:right w:val="single" w:sz="4" w:space="0" w:color="auto"/>
            </w:tcBorders>
            <w:shd w:val="clear" w:color="auto" w:fill="auto"/>
            <w:noWrap/>
            <w:vAlign w:val="center"/>
            <w:hideMark/>
          </w:tcPr>
          <w:p w14:paraId="5615AD76"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53,1%</w:t>
            </w:r>
          </w:p>
        </w:tc>
        <w:tc>
          <w:tcPr>
            <w:tcW w:w="926" w:type="pct"/>
            <w:tcBorders>
              <w:top w:val="nil"/>
              <w:left w:val="nil"/>
              <w:bottom w:val="nil"/>
              <w:right w:val="nil"/>
            </w:tcBorders>
            <w:shd w:val="clear" w:color="auto" w:fill="auto"/>
            <w:noWrap/>
            <w:vAlign w:val="center"/>
            <w:hideMark/>
          </w:tcPr>
          <w:p w14:paraId="18AC7CFC"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21,2%</w:t>
            </w:r>
          </w:p>
        </w:tc>
        <w:tc>
          <w:tcPr>
            <w:tcW w:w="926" w:type="pct"/>
            <w:tcBorders>
              <w:top w:val="nil"/>
              <w:left w:val="single" w:sz="4" w:space="0" w:color="auto"/>
              <w:bottom w:val="nil"/>
              <w:right w:val="single" w:sz="4" w:space="0" w:color="auto"/>
            </w:tcBorders>
            <w:shd w:val="clear" w:color="auto" w:fill="auto"/>
            <w:noWrap/>
            <w:vAlign w:val="center"/>
            <w:hideMark/>
          </w:tcPr>
          <w:p w14:paraId="2C437F5A"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53,2%</w:t>
            </w:r>
          </w:p>
        </w:tc>
        <w:tc>
          <w:tcPr>
            <w:tcW w:w="926" w:type="pct"/>
            <w:tcBorders>
              <w:top w:val="nil"/>
              <w:left w:val="nil"/>
              <w:bottom w:val="nil"/>
              <w:right w:val="single" w:sz="4" w:space="0" w:color="auto"/>
            </w:tcBorders>
            <w:shd w:val="clear" w:color="auto" w:fill="auto"/>
            <w:noWrap/>
            <w:vAlign w:val="center"/>
            <w:hideMark/>
          </w:tcPr>
          <w:p w14:paraId="34797531"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68,5%</w:t>
            </w:r>
          </w:p>
        </w:tc>
      </w:tr>
      <w:tr w:rsidR="006A373A" w:rsidRPr="00AA566D" w14:paraId="585B3F1A"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163220C9"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lastRenderedPageBreak/>
              <w:t>Senegal 2015</w:t>
            </w:r>
          </w:p>
        </w:tc>
        <w:tc>
          <w:tcPr>
            <w:tcW w:w="983" w:type="pct"/>
            <w:tcBorders>
              <w:top w:val="nil"/>
              <w:left w:val="single" w:sz="4" w:space="0" w:color="auto"/>
              <w:bottom w:val="nil"/>
              <w:right w:val="single" w:sz="4" w:space="0" w:color="auto"/>
            </w:tcBorders>
            <w:shd w:val="clear" w:color="auto" w:fill="auto"/>
            <w:noWrap/>
            <w:vAlign w:val="center"/>
            <w:hideMark/>
          </w:tcPr>
          <w:p w14:paraId="1C20778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44,0%</w:t>
            </w:r>
          </w:p>
        </w:tc>
        <w:tc>
          <w:tcPr>
            <w:tcW w:w="926" w:type="pct"/>
            <w:tcBorders>
              <w:top w:val="nil"/>
              <w:left w:val="nil"/>
              <w:bottom w:val="nil"/>
              <w:right w:val="nil"/>
            </w:tcBorders>
            <w:shd w:val="clear" w:color="auto" w:fill="auto"/>
            <w:noWrap/>
            <w:vAlign w:val="center"/>
            <w:hideMark/>
          </w:tcPr>
          <w:p w14:paraId="2495DB25"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25,8%</w:t>
            </w:r>
          </w:p>
        </w:tc>
        <w:tc>
          <w:tcPr>
            <w:tcW w:w="926" w:type="pct"/>
            <w:tcBorders>
              <w:top w:val="nil"/>
              <w:left w:val="single" w:sz="4" w:space="0" w:color="auto"/>
              <w:bottom w:val="nil"/>
              <w:right w:val="single" w:sz="4" w:space="0" w:color="auto"/>
            </w:tcBorders>
            <w:shd w:val="clear" w:color="auto" w:fill="auto"/>
            <w:noWrap/>
            <w:vAlign w:val="center"/>
            <w:hideMark/>
          </w:tcPr>
          <w:p w14:paraId="2404EC44"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42,4%</w:t>
            </w:r>
          </w:p>
        </w:tc>
        <w:tc>
          <w:tcPr>
            <w:tcW w:w="926" w:type="pct"/>
            <w:tcBorders>
              <w:top w:val="nil"/>
              <w:left w:val="nil"/>
              <w:bottom w:val="nil"/>
              <w:right w:val="single" w:sz="4" w:space="0" w:color="auto"/>
            </w:tcBorders>
            <w:shd w:val="clear" w:color="auto" w:fill="auto"/>
            <w:noWrap/>
            <w:vAlign w:val="center"/>
            <w:hideMark/>
          </w:tcPr>
          <w:p w14:paraId="6BE8ADAA"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50,7%</w:t>
            </w:r>
          </w:p>
        </w:tc>
      </w:tr>
      <w:tr w:rsidR="006A373A" w:rsidRPr="00AA566D" w14:paraId="4A459F27" w14:textId="77777777" w:rsidTr="006A373A">
        <w:trPr>
          <w:trHeight w:val="227"/>
          <w:jc w:val="center"/>
        </w:trPr>
        <w:tc>
          <w:tcPr>
            <w:tcW w:w="1239" w:type="pct"/>
            <w:tcBorders>
              <w:top w:val="nil"/>
              <w:left w:val="single" w:sz="4" w:space="0" w:color="auto"/>
              <w:bottom w:val="nil"/>
              <w:right w:val="nil"/>
            </w:tcBorders>
            <w:shd w:val="clear" w:color="auto" w:fill="auto"/>
            <w:noWrap/>
            <w:vAlign w:val="center"/>
            <w:hideMark/>
          </w:tcPr>
          <w:p w14:paraId="3F90BB76"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Sierra Leone 2014</w:t>
            </w:r>
          </w:p>
        </w:tc>
        <w:tc>
          <w:tcPr>
            <w:tcW w:w="983" w:type="pct"/>
            <w:tcBorders>
              <w:top w:val="nil"/>
              <w:left w:val="single" w:sz="4" w:space="0" w:color="auto"/>
              <w:bottom w:val="nil"/>
              <w:right w:val="single" w:sz="4" w:space="0" w:color="auto"/>
            </w:tcBorders>
            <w:shd w:val="clear" w:color="auto" w:fill="auto"/>
            <w:noWrap/>
            <w:vAlign w:val="center"/>
            <w:hideMark/>
          </w:tcPr>
          <w:p w14:paraId="2E7470BD"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55,3%</w:t>
            </w:r>
          </w:p>
        </w:tc>
        <w:tc>
          <w:tcPr>
            <w:tcW w:w="926" w:type="pct"/>
            <w:tcBorders>
              <w:top w:val="nil"/>
              <w:left w:val="nil"/>
              <w:bottom w:val="nil"/>
              <w:right w:val="nil"/>
            </w:tcBorders>
            <w:shd w:val="clear" w:color="auto" w:fill="auto"/>
            <w:noWrap/>
            <w:vAlign w:val="center"/>
            <w:hideMark/>
          </w:tcPr>
          <w:p w14:paraId="4415D874"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26,1%</w:t>
            </w:r>
          </w:p>
        </w:tc>
        <w:tc>
          <w:tcPr>
            <w:tcW w:w="926" w:type="pct"/>
            <w:tcBorders>
              <w:top w:val="nil"/>
              <w:left w:val="single" w:sz="4" w:space="0" w:color="auto"/>
              <w:bottom w:val="nil"/>
              <w:right w:val="single" w:sz="4" w:space="0" w:color="auto"/>
            </w:tcBorders>
            <w:shd w:val="clear" w:color="auto" w:fill="auto"/>
            <w:noWrap/>
            <w:vAlign w:val="center"/>
            <w:hideMark/>
          </w:tcPr>
          <w:p w14:paraId="151DB329"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54,3%</w:t>
            </w:r>
          </w:p>
        </w:tc>
        <w:tc>
          <w:tcPr>
            <w:tcW w:w="926" w:type="pct"/>
            <w:tcBorders>
              <w:top w:val="nil"/>
              <w:left w:val="nil"/>
              <w:bottom w:val="nil"/>
              <w:right w:val="single" w:sz="4" w:space="0" w:color="auto"/>
            </w:tcBorders>
            <w:shd w:val="clear" w:color="auto" w:fill="auto"/>
            <w:noWrap/>
            <w:vAlign w:val="center"/>
            <w:hideMark/>
          </w:tcPr>
          <w:p w14:paraId="2F6ED748"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69,1%</w:t>
            </w:r>
          </w:p>
        </w:tc>
      </w:tr>
      <w:tr w:rsidR="006A373A" w:rsidRPr="00AA566D" w14:paraId="30D9DD81" w14:textId="77777777" w:rsidTr="006A373A">
        <w:trPr>
          <w:trHeight w:val="227"/>
          <w:jc w:val="center"/>
        </w:trPr>
        <w:tc>
          <w:tcPr>
            <w:tcW w:w="1239" w:type="pct"/>
            <w:tcBorders>
              <w:top w:val="nil"/>
              <w:left w:val="single" w:sz="4" w:space="0" w:color="auto"/>
              <w:bottom w:val="single" w:sz="4" w:space="0" w:color="auto"/>
              <w:right w:val="nil"/>
            </w:tcBorders>
            <w:shd w:val="clear" w:color="auto" w:fill="auto"/>
            <w:noWrap/>
            <w:vAlign w:val="center"/>
            <w:hideMark/>
          </w:tcPr>
          <w:p w14:paraId="6BF76545" w14:textId="77777777" w:rsidR="006A373A" w:rsidRPr="00AA566D" w:rsidRDefault="006A373A" w:rsidP="00D2587D">
            <w:pPr>
              <w:spacing w:after="0" w:line="240" w:lineRule="auto"/>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Togo, 2011</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CF4FA8F"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77,5%</w:t>
            </w:r>
          </w:p>
        </w:tc>
        <w:tc>
          <w:tcPr>
            <w:tcW w:w="926" w:type="pct"/>
            <w:tcBorders>
              <w:top w:val="nil"/>
              <w:left w:val="nil"/>
              <w:bottom w:val="single" w:sz="4" w:space="0" w:color="auto"/>
              <w:right w:val="nil"/>
            </w:tcBorders>
            <w:shd w:val="clear" w:color="auto" w:fill="auto"/>
            <w:noWrap/>
            <w:vAlign w:val="center"/>
            <w:hideMark/>
          </w:tcPr>
          <w:p w14:paraId="2D3D0868"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62,7%</w:t>
            </w:r>
          </w:p>
        </w:tc>
        <w:tc>
          <w:tcPr>
            <w:tcW w:w="926" w:type="pct"/>
            <w:tcBorders>
              <w:top w:val="nil"/>
              <w:left w:val="single" w:sz="4" w:space="0" w:color="auto"/>
              <w:bottom w:val="single" w:sz="4" w:space="0" w:color="auto"/>
              <w:right w:val="single" w:sz="4" w:space="0" w:color="auto"/>
            </w:tcBorders>
            <w:shd w:val="clear" w:color="auto" w:fill="auto"/>
            <w:noWrap/>
            <w:vAlign w:val="center"/>
            <w:hideMark/>
          </w:tcPr>
          <w:p w14:paraId="19784A10"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76,2%</w:t>
            </w:r>
          </w:p>
        </w:tc>
        <w:tc>
          <w:tcPr>
            <w:tcW w:w="926" w:type="pct"/>
            <w:tcBorders>
              <w:top w:val="nil"/>
              <w:left w:val="nil"/>
              <w:bottom w:val="single" w:sz="4" w:space="0" w:color="auto"/>
              <w:right w:val="single" w:sz="4" w:space="0" w:color="auto"/>
            </w:tcBorders>
            <w:shd w:val="clear" w:color="auto" w:fill="auto"/>
            <w:noWrap/>
            <w:vAlign w:val="center"/>
            <w:hideMark/>
          </w:tcPr>
          <w:p w14:paraId="36BDF7D8" w14:textId="77777777" w:rsidR="006A373A" w:rsidRPr="00AA566D" w:rsidRDefault="006A373A" w:rsidP="00D2587D">
            <w:pPr>
              <w:spacing w:after="0" w:line="240" w:lineRule="auto"/>
              <w:jc w:val="center"/>
              <w:rPr>
                <w:rFonts w:asciiTheme="majorHAnsi" w:eastAsia="Times New Roman" w:hAnsiTheme="majorHAnsi" w:cs="Times New Roman"/>
                <w:sz w:val="20"/>
                <w:szCs w:val="20"/>
                <w:lang w:val="en-US" w:eastAsia="fr-FR"/>
              </w:rPr>
            </w:pPr>
            <w:r w:rsidRPr="00AA566D">
              <w:rPr>
                <w:rFonts w:asciiTheme="majorHAnsi" w:eastAsia="Times New Roman" w:hAnsiTheme="majorHAnsi" w:cs="Times New Roman"/>
                <w:sz w:val="20"/>
                <w:szCs w:val="20"/>
                <w:lang w:val="en-US" w:eastAsia="fr-FR"/>
              </w:rPr>
              <w:t>82,9%</w:t>
            </w:r>
          </w:p>
        </w:tc>
      </w:tr>
      <w:tr w:rsidR="006A373A" w:rsidRPr="00AA566D" w14:paraId="3FC51C9C" w14:textId="77777777" w:rsidTr="006A373A">
        <w:trPr>
          <w:trHeight w:val="227"/>
          <w:jc w:val="center"/>
        </w:trPr>
        <w:tc>
          <w:tcPr>
            <w:tcW w:w="1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4F344" w14:textId="77777777" w:rsidR="006A373A" w:rsidRPr="00AA566D" w:rsidRDefault="006A373A" w:rsidP="00D2587D">
            <w:pPr>
              <w:spacing w:after="0" w:line="240" w:lineRule="auto"/>
              <w:rPr>
                <w:rFonts w:asciiTheme="majorHAnsi" w:eastAsia="Times New Roman" w:hAnsiTheme="majorHAnsi" w:cs="Times New Roman"/>
                <w:b/>
                <w:bCs/>
                <w:sz w:val="20"/>
                <w:szCs w:val="20"/>
                <w:lang w:val="en-US" w:eastAsia="fr-FR"/>
              </w:rPr>
            </w:pPr>
            <w:r w:rsidRPr="00AA566D">
              <w:rPr>
                <w:rFonts w:asciiTheme="majorHAnsi" w:eastAsia="Times New Roman" w:hAnsiTheme="majorHAnsi" w:cs="Times New Roman"/>
                <w:b/>
                <w:bCs/>
                <w:sz w:val="20"/>
                <w:szCs w:val="20"/>
                <w:lang w:val="en-US" w:eastAsia="fr-FR"/>
              </w:rPr>
              <w:t>Average WCA</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14:paraId="02453A05" w14:textId="77777777" w:rsidR="006A373A" w:rsidRPr="00AA566D" w:rsidRDefault="006A373A" w:rsidP="00D2587D">
            <w:pPr>
              <w:spacing w:after="0" w:line="240" w:lineRule="auto"/>
              <w:jc w:val="center"/>
              <w:rPr>
                <w:rFonts w:asciiTheme="majorHAnsi" w:eastAsia="Times New Roman" w:hAnsiTheme="majorHAnsi" w:cs="Times New Roman"/>
                <w:b/>
                <w:bCs/>
                <w:sz w:val="20"/>
                <w:szCs w:val="20"/>
                <w:lang w:val="en-US" w:eastAsia="fr-FR"/>
              </w:rPr>
            </w:pPr>
            <w:r w:rsidRPr="00AA566D">
              <w:rPr>
                <w:rFonts w:asciiTheme="majorHAnsi" w:eastAsia="Times New Roman" w:hAnsiTheme="majorHAnsi" w:cs="Times New Roman"/>
                <w:b/>
                <w:bCs/>
                <w:sz w:val="20"/>
                <w:szCs w:val="20"/>
                <w:lang w:val="en-US" w:eastAsia="fr-FR"/>
              </w:rPr>
              <w:t>62,5%</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34CF7BC7" w14:textId="77777777" w:rsidR="006A373A" w:rsidRPr="00AA566D" w:rsidRDefault="006A373A" w:rsidP="00D2587D">
            <w:pPr>
              <w:spacing w:after="0" w:line="240" w:lineRule="auto"/>
              <w:jc w:val="center"/>
              <w:rPr>
                <w:rFonts w:asciiTheme="majorHAnsi" w:eastAsia="Times New Roman" w:hAnsiTheme="majorHAnsi" w:cs="Times New Roman"/>
                <w:b/>
                <w:bCs/>
                <w:sz w:val="20"/>
                <w:szCs w:val="20"/>
                <w:lang w:val="en-US" w:eastAsia="fr-FR"/>
              </w:rPr>
            </w:pPr>
            <w:r w:rsidRPr="00AA566D">
              <w:rPr>
                <w:rFonts w:asciiTheme="majorHAnsi" w:eastAsia="Times New Roman" w:hAnsiTheme="majorHAnsi" w:cs="Times New Roman"/>
                <w:b/>
                <w:bCs/>
                <w:sz w:val="20"/>
                <w:szCs w:val="20"/>
                <w:lang w:val="en-US" w:eastAsia="fr-FR"/>
              </w:rPr>
              <w:t>40,9%</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16CC5059" w14:textId="77777777" w:rsidR="006A373A" w:rsidRPr="00AA566D" w:rsidRDefault="006A373A" w:rsidP="00D2587D">
            <w:pPr>
              <w:spacing w:after="0" w:line="240" w:lineRule="auto"/>
              <w:jc w:val="center"/>
              <w:rPr>
                <w:rFonts w:asciiTheme="majorHAnsi" w:eastAsia="Times New Roman" w:hAnsiTheme="majorHAnsi" w:cs="Times New Roman"/>
                <w:b/>
                <w:bCs/>
                <w:sz w:val="20"/>
                <w:szCs w:val="20"/>
                <w:lang w:val="en-US" w:eastAsia="fr-FR"/>
              </w:rPr>
            </w:pPr>
            <w:r w:rsidRPr="00AA566D">
              <w:rPr>
                <w:rFonts w:asciiTheme="majorHAnsi" w:eastAsia="Times New Roman" w:hAnsiTheme="majorHAnsi" w:cs="Times New Roman"/>
                <w:b/>
                <w:bCs/>
                <w:sz w:val="20"/>
                <w:szCs w:val="20"/>
                <w:lang w:val="en-US" w:eastAsia="fr-FR"/>
              </w:rPr>
              <w:t>60,1%</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373322A6" w14:textId="77777777" w:rsidR="006A373A" w:rsidRPr="00AA566D" w:rsidRDefault="006A373A" w:rsidP="00D2587D">
            <w:pPr>
              <w:spacing w:after="0" w:line="240" w:lineRule="auto"/>
              <w:jc w:val="center"/>
              <w:rPr>
                <w:rFonts w:asciiTheme="majorHAnsi" w:eastAsia="Times New Roman" w:hAnsiTheme="majorHAnsi" w:cs="Times New Roman"/>
                <w:b/>
                <w:bCs/>
                <w:sz w:val="20"/>
                <w:szCs w:val="20"/>
                <w:lang w:val="en-US" w:eastAsia="fr-FR"/>
              </w:rPr>
            </w:pPr>
            <w:r w:rsidRPr="00AA566D">
              <w:rPr>
                <w:rFonts w:asciiTheme="majorHAnsi" w:eastAsia="Times New Roman" w:hAnsiTheme="majorHAnsi" w:cs="Times New Roman"/>
                <w:b/>
                <w:bCs/>
                <w:sz w:val="20"/>
                <w:szCs w:val="20"/>
                <w:lang w:val="en-US" w:eastAsia="fr-FR"/>
              </w:rPr>
              <w:t>72,4%</w:t>
            </w:r>
          </w:p>
        </w:tc>
      </w:tr>
    </w:tbl>
    <w:p w14:paraId="07E77281" w14:textId="77777777" w:rsidR="006A373A" w:rsidRPr="00AA566D" w:rsidRDefault="006A373A" w:rsidP="00D2587D">
      <w:pPr>
        <w:spacing w:after="0" w:line="240" w:lineRule="auto"/>
        <w:ind w:right="1134"/>
        <w:jc w:val="both"/>
        <w:rPr>
          <w:rFonts w:asciiTheme="majorHAnsi" w:hAnsiTheme="majorHAnsi" w:cs="Times New Roman"/>
          <w:sz w:val="20"/>
          <w:szCs w:val="20"/>
          <w:lang w:val="en-US"/>
        </w:rPr>
      </w:pPr>
      <w:r w:rsidRPr="00AA566D">
        <w:rPr>
          <w:rFonts w:asciiTheme="majorHAnsi" w:hAnsiTheme="majorHAnsi" w:cs="Times New Roman"/>
          <w:sz w:val="20"/>
          <w:szCs w:val="20"/>
          <w:u w:val="single"/>
          <w:lang w:val="en-US"/>
        </w:rPr>
        <w:t>Source</w:t>
      </w:r>
      <w:r w:rsidRPr="00AA566D">
        <w:rPr>
          <w:rFonts w:asciiTheme="majorHAnsi" w:hAnsiTheme="majorHAnsi" w:cs="Times New Roman"/>
          <w:sz w:val="20"/>
          <w:szCs w:val="20"/>
          <w:lang w:val="en-US"/>
        </w:rPr>
        <w:t>: Downloaded from ILOSTAT website. The employment-to-population ratio is the number of persons who are employed as a percent of the total of working age population.</w:t>
      </w:r>
    </w:p>
    <w:p w14:paraId="57B9C4D4" w14:textId="77777777" w:rsidR="008E2661" w:rsidRPr="00AA566D" w:rsidRDefault="008E2661" w:rsidP="00D2587D">
      <w:pPr>
        <w:spacing w:after="0" w:line="240" w:lineRule="auto"/>
        <w:jc w:val="both"/>
        <w:rPr>
          <w:rFonts w:asciiTheme="majorHAnsi" w:hAnsiTheme="majorHAnsi" w:cs="Times New Roman"/>
          <w:sz w:val="24"/>
          <w:szCs w:val="24"/>
          <w:lang w:val="en-US"/>
        </w:rPr>
      </w:pPr>
    </w:p>
    <w:p w14:paraId="57F1EF3C" w14:textId="787A1CBF" w:rsidR="009578F9" w:rsidRPr="00AA566D" w:rsidRDefault="009578F9"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On the other hand, the labo</w:t>
      </w:r>
      <w:r w:rsidR="00AA566D" w:rsidRPr="00AA566D">
        <w:rPr>
          <w:rFonts w:asciiTheme="majorHAnsi" w:hAnsiTheme="majorHAnsi" w:cs="Times New Roman"/>
          <w:sz w:val="24"/>
          <w:szCs w:val="24"/>
          <w:lang w:val="en-US"/>
        </w:rPr>
        <w:t>u</w:t>
      </w:r>
      <w:r w:rsidRPr="00AA566D">
        <w:rPr>
          <w:rFonts w:asciiTheme="majorHAnsi" w:hAnsiTheme="majorHAnsi" w:cs="Times New Roman"/>
          <w:sz w:val="24"/>
          <w:szCs w:val="24"/>
          <w:lang w:val="en-US"/>
        </w:rPr>
        <w:t xml:space="preserve">r market in the sub-region is mainly informal. As a result, the majority of </w:t>
      </w:r>
      <w:r w:rsidR="008E2661" w:rsidRPr="00AA566D">
        <w:rPr>
          <w:rFonts w:asciiTheme="majorHAnsi" w:hAnsiTheme="majorHAnsi" w:cs="Times New Roman"/>
          <w:sz w:val="24"/>
          <w:szCs w:val="24"/>
          <w:lang w:val="en-US"/>
        </w:rPr>
        <w:t>youth</w:t>
      </w:r>
      <w:r w:rsidRPr="00AA566D">
        <w:rPr>
          <w:rFonts w:asciiTheme="majorHAnsi" w:hAnsiTheme="majorHAnsi" w:cs="Times New Roman"/>
          <w:sz w:val="24"/>
          <w:szCs w:val="24"/>
          <w:lang w:val="en-US"/>
        </w:rPr>
        <w:t xml:space="preserve">, whether they are well trained or not, skilled or not, fail to find decent jobs or to engage in self-employment. </w:t>
      </w:r>
      <w:r w:rsidR="008E2661" w:rsidRPr="00AA566D">
        <w:rPr>
          <w:rFonts w:asciiTheme="majorHAnsi" w:hAnsiTheme="majorHAnsi" w:cs="Times New Roman"/>
          <w:sz w:val="24"/>
          <w:szCs w:val="24"/>
          <w:lang w:val="en-US"/>
        </w:rPr>
        <w:t>Within t</w:t>
      </w:r>
      <w:r w:rsidRPr="00AA566D">
        <w:rPr>
          <w:rFonts w:asciiTheme="majorHAnsi" w:hAnsiTheme="majorHAnsi" w:cs="Times New Roman"/>
          <w:sz w:val="24"/>
          <w:szCs w:val="24"/>
          <w:lang w:val="en-US"/>
        </w:rPr>
        <w:t>he sub-region</w:t>
      </w:r>
      <w:r w:rsidR="008E2661" w:rsidRPr="00AA566D">
        <w:rPr>
          <w:rFonts w:asciiTheme="majorHAnsi" w:hAnsiTheme="majorHAnsi" w:cs="Times New Roman"/>
          <w:sz w:val="24"/>
          <w:szCs w:val="24"/>
          <w:lang w:val="en-US"/>
        </w:rPr>
        <w:t xml:space="preserve"> there is a</w:t>
      </w:r>
      <w:r w:rsidRPr="00AA566D">
        <w:rPr>
          <w:rFonts w:asciiTheme="majorHAnsi" w:hAnsiTheme="majorHAnsi" w:cs="Times New Roman"/>
          <w:sz w:val="24"/>
          <w:szCs w:val="24"/>
          <w:lang w:val="en-US"/>
        </w:rPr>
        <w:t xml:space="preserve"> growing</w:t>
      </w:r>
      <w:r w:rsidR="008E2661" w:rsidRPr="00AA566D">
        <w:rPr>
          <w:rFonts w:asciiTheme="majorHAnsi" w:hAnsiTheme="majorHAnsi" w:cs="Times New Roman"/>
          <w:sz w:val="24"/>
          <w:szCs w:val="24"/>
          <w:lang w:val="en-US"/>
        </w:rPr>
        <w:t xml:space="preserve"> rate of</w:t>
      </w:r>
      <w:r w:rsidRPr="00AA566D">
        <w:rPr>
          <w:rFonts w:asciiTheme="majorHAnsi" w:hAnsiTheme="majorHAnsi" w:cs="Times New Roman"/>
          <w:sz w:val="24"/>
          <w:szCs w:val="24"/>
          <w:lang w:val="en-US"/>
        </w:rPr>
        <w:t xml:space="preserve"> irregular migration </w:t>
      </w:r>
      <w:r w:rsidR="008E2661" w:rsidRPr="00AA566D">
        <w:rPr>
          <w:rFonts w:asciiTheme="majorHAnsi" w:hAnsiTheme="majorHAnsi" w:cs="Times New Roman"/>
          <w:sz w:val="24"/>
          <w:szCs w:val="24"/>
          <w:lang w:val="en-US"/>
        </w:rPr>
        <w:t xml:space="preserve">among </w:t>
      </w:r>
      <w:r w:rsidRPr="00AA566D">
        <w:rPr>
          <w:rFonts w:asciiTheme="majorHAnsi" w:hAnsiTheme="majorHAnsi" w:cs="Times New Roman"/>
          <w:sz w:val="24"/>
          <w:szCs w:val="24"/>
          <w:lang w:val="en-US"/>
        </w:rPr>
        <w:t>you</w:t>
      </w:r>
      <w:r w:rsidR="008E2661" w:rsidRPr="00AA566D">
        <w:rPr>
          <w:rFonts w:asciiTheme="majorHAnsi" w:hAnsiTheme="majorHAnsi" w:cs="Times New Roman"/>
          <w:sz w:val="24"/>
          <w:szCs w:val="24"/>
          <w:lang w:val="en-US"/>
        </w:rPr>
        <w:t>th</w:t>
      </w:r>
      <w:r w:rsidRPr="00AA566D">
        <w:rPr>
          <w:rFonts w:asciiTheme="majorHAnsi" w:hAnsiTheme="majorHAnsi" w:cs="Times New Roman"/>
          <w:sz w:val="24"/>
          <w:szCs w:val="24"/>
          <w:lang w:val="en-US"/>
        </w:rPr>
        <w:t xml:space="preserve"> </w:t>
      </w:r>
      <w:r w:rsidR="008E2661" w:rsidRPr="00AA566D">
        <w:rPr>
          <w:rFonts w:asciiTheme="majorHAnsi" w:hAnsiTheme="majorHAnsi" w:cs="Times New Roman"/>
          <w:sz w:val="24"/>
          <w:szCs w:val="24"/>
          <w:lang w:val="en-US"/>
        </w:rPr>
        <w:t>who seek</w:t>
      </w:r>
      <w:r w:rsidRPr="00AA566D">
        <w:rPr>
          <w:rFonts w:asciiTheme="majorHAnsi" w:hAnsiTheme="majorHAnsi" w:cs="Times New Roman"/>
          <w:sz w:val="24"/>
          <w:szCs w:val="24"/>
          <w:lang w:val="en-US"/>
        </w:rPr>
        <w:t xml:space="preserve"> opportunities elsewhere</w:t>
      </w:r>
      <w:r w:rsidR="008E2661" w:rsidRPr="00AA566D">
        <w:rPr>
          <w:rFonts w:asciiTheme="majorHAnsi" w:hAnsiTheme="majorHAnsi" w:cs="Times New Roman"/>
          <w:sz w:val="24"/>
          <w:szCs w:val="24"/>
          <w:lang w:val="en-US"/>
        </w:rPr>
        <w:t xml:space="preserve">. These youth are also at risk for </w:t>
      </w:r>
      <w:r w:rsidRPr="00AA566D">
        <w:rPr>
          <w:rFonts w:asciiTheme="majorHAnsi" w:hAnsiTheme="majorHAnsi" w:cs="Times New Roman"/>
          <w:sz w:val="24"/>
          <w:szCs w:val="24"/>
          <w:lang w:val="en-US"/>
        </w:rPr>
        <w:t xml:space="preserve">radicalization. </w:t>
      </w:r>
    </w:p>
    <w:p w14:paraId="7773B499" w14:textId="77777777" w:rsidR="009578F9" w:rsidRPr="00AA566D" w:rsidRDefault="009578F9" w:rsidP="00D2587D">
      <w:pPr>
        <w:spacing w:after="0" w:line="240" w:lineRule="auto"/>
        <w:jc w:val="both"/>
        <w:rPr>
          <w:rFonts w:asciiTheme="majorHAnsi" w:hAnsiTheme="majorHAnsi" w:cs="Times New Roman"/>
          <w:sz w:val="24"/>
          <w:szCs w:val="24"/>
          <w:lang w:val="en-US"/>
        </w:rPr>
      </w:pPr>
    </w:p>
    <w:p w14:paraId="2CE44FB0" w14:textId="4E08DBDF" w:rsidR="009578F9" w:rsidRPr="00AA566D" w:rsidRDefault="00AD4839"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T</w:t>
      </w:r>
      <w:r w:rsidR="009578F9" w:rsidRPr="00AA566D">
        <w:rPr>
          <w:rFonts w:asciiTheme="majorHAnsi" w:hAnsiTheme="majorHAnsi" w:cs="Times New Roman"/>
          <w:sz w:val="24"/>
          <w:szCs w:val="24"/>
          <w:lang w:val="en-US"/>
        </w:rPr>
        <w:t>he issues of illegal immigration</w:t>
      </w:r>
      <w:r w:rsidRPr="00AA566D">
        <w:rPr>
          <w:rFonts w:asciiTheme="majorHAnsi" w:hAnsiTheme="majorHAnsi" w:cs="Times New Roman"/>
          <w:sz w:val="24"/>
          <w:szCs w:val="24"/>
          <w:lang w:val="en-US"/>
        </w:rPr>
        <w:t xml:space="preserve">, </w:t>
      </w:r>
      <w:r w:rsidR="009578F9" w:rsidRPr="00AA566D">
        <w:rPr>
          <w:rFonts w:asciiTheme="majorHAnsi" w:hAnsiTheme="majorHAnsi" w:cs="Times New Roman"/>
          <w:sz w:val="24"/>
          <w:szCs w:val="24"/>
          <w:lang w:val="en-US"/>
        </w:rPr>
        <w:t>radicalization</w:t>
      </w:r>
      <w:r w:rsidRPr="00AA566D">
        <w:rPr>
          <w:rFonts w:asciiTheme="majorHAnsi" w:hAnsiTheme="majorHAnsi" w:cs="Times New Roman"/>
          <w:sz w:val="24"/>
          <w:szCs w:val="24"/>
          <w:lang w:val="en-US"/>
        </w:rPr>
        <w:t xml:space="preserve"> and unemployment among</w:t>
      </w:r>
      <w:r w:rsidR="009578F9" w:rsidRPr="00AA566D">
        <w:rPr>
          <w:rFonts w:asciiTheme="majorHAnsi" w:hAnsiTheme="majorHAnsi" w:cs="Times New Roman"/>
          <w:sz w:val="24"/>
          <w:szCs w:val="24"/>
          <w:lang w:val="en-US"/>
        </w:rPr>
        <w:t xml:space="preserve"> young people </w:t>
      </w:r>
      <w:r w:rsidRPr="00AA566D">
        <w:rPr>
          <w:rFonts w:asciiTheme="majorHAnsi" w:hAnsiTheme="majorHAnsi" w:cs="Times New Roman"/>
          <w:sz w:val="24"/>
          <w:szCs w:val="24"/>
          <w:lang w:val="en-US"/>
        </w:rPr>
        <w:t>are</w:t>
      </w:r>
      <w:r w:rsidR="009578F9" w:rsidRPr="00AA566D">
        <w:rPr>
          <w:rFonts w:asciiTheme="majorHAnsi" w:hAnsiTheme="majorHAnsi" w:cs="Times New Roman"/>
          <w:sz w:val="24"/>
          <w:szCs w:val="24"/>
          <w:lang w:val="en-US"/>
        </w:rPr>
        <w:t xml:space="preserve"> raising questions about the role and capacity of education and training systems to fit the needs of</w:t>
      </w:r>
      <w:r w:rsidRPr="00AA566D">
        <w:rPr>
          <w:rFonts w:asciiTheme="majorHAnsi" w:hAnsiTheme="majorHAnsi" w:cs="Times New Roman"/>
          <w:sz w:val="24"/>
          <w:szCs w:val="24"/>
          <w:lang w:val="en-US"/>
        </w:rPr>
        <w:t xml:space="preserve"> the population, as well as the local</w:t>
      </w:r>
      <w:r w:rsidR="009578F9" w:rsidRPr="00AA566D">
        <w:rPr>
          <w:rFonts w:asciiTheme="majorHAnsi" w:hAnsiTheme="majorHAnsi" w:cs="Times New Roman"/>
          <w:sz w:val="24"/>
          <w:szCs w:val="24"/>
          <w:lang w:val="en-US"/>
        </w:rPr>
        <w:t xml:space="preserve"> economy.</w:t>
      </w:r>
    </w:p>
    <w:p w14:paraId="4DD1E163" w14:textId="77777777" w:rsidR="009578F9" w:rsidRPr="00AA566D" w:rsidRDefault="009578F9" w:rsidP="00D2587D">
      <w:pPr>
        <w:spacing w:after="0" w:line="240" w:lineRule="auto"/>
        <w:jc w:val="both"/>
        <w:rPr>
          <w:rFonts w:asciiTheme="majorHAnsi" w:hAnsiTheme="majorHAnsi" w:cs="Times New Roman"/>
          <w:sz w:val="24"/>
          <w:szCs w:val="24"/>
          <w:lang w:val="en-US"/>
        </w:rPr>
      </w:pPr>
    </w:p>
    <w:p w14:paraId="55540A33" w14:textId="6511E574" w:rsidR="00AD4839" w:rsidRPr="00AA566D" w:rsidRDefault="00DC3CF3" w:rsidP="00D2587D">
      <w:pPr>
        <w:spacing w:after="0" w:line="240" w:lineRule="auto"/>
        <w:jc w:val="both"/>
        <w:rPr>
          <w:rFonts w:asciiTheme="majorHAnsi" w:hAnsiTheme="majorHAnsi" w:cs="Times New Roman"/>
          <w:sz w:val="24"/>
          <w:szCs w:val="24"/>
          <w:lang w:val="en-GB"/>
        </w:rPr>
      </w:pPr>
      <w:r w:rsidRPr="00AA566D">
        <w:rPr>
          <w:rFonts w:asciiTheme="majorHAnsi" w:hAnsiTheme="majorHAnsi" w:cs="Times New Roman"/>
          <w:sz w:val="24"/>
          <w:szCs w:val="24"/>
          <w:lang w:val="en-US"/>
        </w:rPr>
        <w:t>T</w:t>
      </w:r>
      <w:r w:rsidR="009578F9" w:rsidRPr="00AA566D">
        <w:rPr>
          <w:rFonts w:asciiTheme="majorHAnsi" w:hAnsiTheme="majorHAnsi" w:cs="Times New Roman"/>
          <w:sz w:val="24"/>
          <w:szCs w:val="24"/>
          <w:lang w:val="en-US"/>
        </w:rPr>
        <w:t xml:space="preserve">he Education 2030 </w:t>
      </w:r>
      <w:r w:rsidR="00AD4839" w:rsidRPr="00AA566D">
        <w:rPr>
          <w:rFonts w:asciiTheme="majorHAnsi" w:hAnsiTheme="majorHAnsi" w:cs="Times New Roman"/>
          <w:sz w:val="24"/>
          <w:szCs w:val="24"/>
          <w:lang w:val="en-US"/>
        </w:rPr>
        <w:t>A</w:t>
      </w:r>
      <w:r w:rsidR="009578F9" w:rsidRPr="00AA566D">
        <w:rPr>
          <w:rFonts w:asciiTheme="majorHAnsi" w:hAnsiTheme="majorHAnsi" w:cs="Times New Roman"/>
          <w:sz w:val="24"/>
          <w:szCs w:val="24"/>
          <w:lang w:val="en-US"/>
        </w:rPr>
        <w:t xml:space="preserve">genda </w:t>
      </w:r>
      <w:r w:rsidRPr="00AA566D">
        <w:rPr>
          <w:rFonts w:asciiTheme="majorHAnsi" w:hAnsiTheme="majorHAnsi" w:cs="Times New Roman"/>
          <w:sz w:val="24"/>
          <w:szCs w:val="24"/>
          <w:lang w:val="en-US"/>
        </w:rPr>
        <w:t>reflects this issue through its</w:t>
      </w:r>
      <w:r w:rsidR="009578F9" w:rsidRPr="00AA566D">
        <w:rPr>
          <w:rFonts w:asciiTheme="majorHAnsi" w:hAnsiTheme="majorHAnsi" w:cs="Times New Roman"/>
          <w:sz w:val="24"/>
          <w:szCs w:val="24"/>
          <w:lang w:val="en-US"/>
        </w:rPr>
        <w:t xml:space="preserve"> focus on </w:t>
      </w:r>
      <w:r w:rsidR="009578F9" w:rsidRPr="00AA566D">
        <w:rPr>
          <w:rFonts w:asciiTheme="majorHAnsi" w:hAnsiTheme="majorHAnsi" w:cs="Times New Roman"/>
          <w:sz w:val="24"/>
          <w:szCs w:val="24"/>
          <w:lang w:val="en-GB"/>
        </w:rPr>
        <w:t>lifelong learning</w:t>
      </w:r>
      <w:r w:rsidRPr="00AA566D">
        <w:rPr>
          <w:rFonts w:asciiTheme="majorHAnsi" w:hAnsiTheme="majorHAnsi" w:cs="Times New Roman"/>
          <w:sz w:val="24"/>
          <w:szCs w:val="24"/>
          <w:lang w:val="en-GB"/>
        </w:rPr>
        <w:t xml:space="preserve">, as well as within </w:t>
      </w:r>
      <w:r w:rsidR="009578F9" w:rsidRPr="00AA566D">
        <w:rPr>
          <w:rFonts w:asciiTheme="majorHAnsi" w:hAnsiTheme="majorHAnsi" w:cs="Times New Roman"/>
          <w:sz w:val="24"/>
          <w:szCs w:val="24"/>
          <w:lang w:val="en-GB"/>
        </w:rPr>
        <w:t>its various targets</w:t>
      </w:r>
      <w:r w:rsidR="00AD4839" w:rsidRPr="00AA566D">
        <w:rPr>
          <w:rFonts w:asciiTheme="majorHAnsi" w:hAnsiTheme="majorHAnsi" w:cs="Times New Roman"/>
          <w:sz w:val="24"/>
          <w:szCs w:val="24"/>
          <w:lang w:val="en-GB"/>
        </w:rPr>
        <w:t>:</w:t>
      </w:r>
    </w:p>
    <w:p w14:paraId="6F9EF4C9" w14:textId="41762A4C" w:rsidR="00AD4839" w:rsidRPr="00AA566D" w:rsidRDefault="009578F9" w:rsidP="005378CA">
      <w:pPr>
        <w:pStyle w:val="ListParagraph"/>
        <w:numPr>
          <w:ilvl w:val="0"/>
          <w:numId w:val="16"/>
        </w:numPr>
        <w:spacing w:after="0" w:line="240" w:lineRule="auto"/>
        <w:jc w:val="both"/>
        <w:rPr>
          <w:rFonts w:asciiTheme="majorHAnsi" w:hAnsiTheme="majorHAnsi" w:cs="Times New Roman"/>
          <w:sz w:val="24"/>
          <w:szCs w:val="24"/>
          <w:lang w:val="en-GB"/>
        </w:rPr>
      </w:pPr>
      <w:r w:rsidRPr="00AA566D">
        <w:rPr>
          <w:rFonts w:asciiTheme="majorHAnsi" w:hAnsiTheme="majorHAnsi" w:cs="Times New Roman"/>
          <w:sz w:val="24"/>
          <w:szCs w:val="24"/>
          <w:lang w:val="en-GB"/>
        </w:rPr>
        <w:t xml:space="preserve">Target </w:t>
      </w:r>
      <w:r w:rsidR="00AD4839" w:rsidRPr="00AA566D">
        <w:rPr>
          <w:rFonts w:asciiTheme="majorHAnsi" w:hAnsiTheme="majorHAnsi" w:cs="Times New Roman"/>
          <w:sz w:val="24"/>
          <w:szCs w:val="24"/>
          <w:lang w:val="en-GB"/>
        </w:rPr>
        <w:t>4.</w:t>
      </w:r>
      <w:r w:rsidRPr="00AA566D">
        <w:rPr>
          <w:rFonts w:asciiTheme="majorHAnsi" w:hAnsiTheme="majorHAnsi" w:cs="Times New Roman"/>
          <w:sz w:val="24"/>
          <w:szCs w:val="24"/>
          <w:lang w:val="en-GB"/>
        </w:rPr>
        <w:t xml:space="preserve">1 </w:t>
      </w:r>
      <w:r w:rsidR="00B8570F" w:rsidRPr="00AA566D">
        <w:rPr>
          <w:rFonts w:asciiTheme="majorHAnsi" w:hAnsiTheme="majorHAnsi" w:cs="Times New Roman"/>
          <w:sz w:val="24"/>
          <w:szCs w:val="24"/>
          <w:lang w:val="en-GB"/>
        </w:rPr>
        <w:t>refers</w:t>
      </w:r>
      <w:r w:rsidRPr="00AA566D">
        <w:rPr>
          <w:rFonts w:asciiTheme="majorHAnsi" w:hAnsiTheme="majorHAnsi" w:cs="Times New Roman"/>
          <w:sz w:val="24"/>
          <w:szCs w:val="24"/>
          <w:lang w:val="en-GB"/>
        </w:rPr>
        <w:t xml:space="preserve"> to “relevant and effective learning outcomes</w:t>
      </w:r>
      <w:r w:rsidR="002C0BC3">
        <w:rPr>
          <w:rFonts w:asciiTheme="majorHAnsi" w:hAnsiTheme="majorHAnsi" w:cs="Times New Roman"/>
          <w:sz w:val="24"/>
          <w:szCs w:val="24"/>
          <w:lang w:val="en-GB"/>
        </w:rPr>
        <w:t>;</w:t>
      </w:r>
      <w:r w:rsidRPr="00AA566D">
        <w:rPr>
          <w:rFonts w:asciiTheme="majorHAnsi" w:hAnsiTheme="majorHAnsi" w:cs="Times New Roman"/>
          <w:sz w:val="24"/>
          <w:szCs w:val="24"/>
          <w:lang w:val="en-GB"/>
        </w:rPr>
        <w:t xml:space="preserve">” </w:t>
      </w:r>
    </w:p>
    <w:p w14:paraId="4FCDBB31" w14:textId="6EB55544" w:rsidR="00AD4839" w:rsidRPr="00AA566D" w:rsidRDefault="00AD4839" w:rsidP="005378CA">
      <w:pPr>
        <w:pStyle w:val="ListParagraph"/>
        <w:numPr>
          <w:ilvl w:val="0"/>
          <w:numId w:val="16"/>
        </w:numPr>
        <w:spacing w:after="0" w:line="240" w:lineRule="auto"/>
        <w:jc w:val="both"/>
        <w:rPr>
          <w:rFonts w:asciiTheme="majorHAnsi" w:hAnsiTheme="majorHAnsi" w:cs="Times New Roman"/>
          <w:sz w:val="24"/>
          <w:szCs w:val="24"/>
          <w:lang w:val="en-GB"/>
        </w:rPr>
      </w:pPr>
      <w:r w:rsidRPr="00AA566D">
        <w:rPr>
          <w:rFonts w:asciiTheme="majorHAnsi" w:hAnsiTheme="majorHAnsi" w:cs="Times New Roman"/>
          <w:sz w:val="24"/>
          <w:szCs w:val="24"/>
          <w:lang w:val="en-GB"/>
        </w:rPr>
        <w:t>T</w:t>
      </w:r>
      <w:r w:rsidR="009578F9" w:rsidRPr="00AA566D">
        <w:rPr>
          <w:rFonts w:asciiTheme="majorHAnsi" w:hAnsiTheme="majorHAnsi" w:cs="Times New Roman"/>
          <w:sz w:val="24"/>
          <w:szCs w:val="24"/>
          <w:lang w:val="en-GB"/>
        </w:rPr>
        <w:t xml:space="preserve">arget </w:t>
      </w:r>
      <w:r w:rsidRPr="00AA566D">
        <w:rPr>
          <w:rFonts w:asciiTheme="majorHAnsi" w:hAnsiTheme="majorHAnsi" w:cs="Times New Roman"/>
          <w:sz w:val="24"/>
          <w:szCs w:val="24"/>
          <w:lang w:val="en-GB"/>
        </w:rPr>
        <w:t>4.</w:t>
      </w:r>
      <w:r w:rsidR="009578F9" w:rsidRPr="00AA566D">
        <w:rPr>
          <w:rFonts w:asciiTheme="majorHAnsi" w:hAnsiTheme="majorHAnsi" w:cs="Times New Roman"/>
          <w:sz w:val="24"/>
          <w:szCs w:val="24"/>
          <w:lang w:val="en-GB"/>
        </w:rPr>
        <w:t>3 states: “</w:t>
      </w:r>
      <w:r w:rsidRPr="00AA566D">
        <w:rPr>
          <w:rFonts w:asciiTheme="majorHAnsi" w:hAnsiTheme="majorHAnsi" w:cs="Times New Roman"/>
          <w:sz w:val="24"/>
          <w:szCs w:val="24"/>
          <w:lang w:val="en-GB"/>
        </w:rPr>
        <w:t>b</w:t>
      </w:r>
      <w:r w:rsidR="009578F9" w:rsidRPr="00AA566D">
        <w:rPr>
          <w:rFonts w:asciiTheme="majorHAnsi" w:hAnsiTheme="majorHAnsi" w:cs="Times New Roman"/>
          <w:sz w:val="24"/>
          <w:szCs w:val="24"/>
          <w:lang w:val="en-GB"/>
        </w:rPr>
        <w:t>y 2030, ensure equal access for all women and men to affordable and quality technical, vocational and tertiary education, including university</w:t>
      </w:r>
      <w:r w:rsidR="002C0BC3">
        <w:rPr>
          <w:rFonts w:asciiTheme="majorHAnsi" w:hAnsiTheme="majorHAnsi" w:cs="Times New Roman"/>
          <w:sz w:val="24"/>
          <w:szCs w:val="24"/>
          <w:lang w:val="en-GB"/>
        </w:rPr>
        <w:t>;</w:t>
      </w:r>
      <w:r w:rsidR="009578F9" w:rsidRPr="00AA566D">
        <w:rPr>
          <w:rFonts w:asciiTheme="majorHAnsi" w:hAnsiTheme="majorHAnsi" w:cs="Times New Roman"/>
          <w:sz w:val="24"/>
          <w:szCs w:val="24"/>
          <w:lang w:val="en-GB"/>
        </w:rPr>
        <w:t>”</w:t>
      </w:r>
    </w:p>
    <w:p w14:paraId="57C68140" w14:textId="69DC4C60" w:rsidR="00AD4839" w:rsidRPr="00AA566D" w:rsidRDefault="00AD4839" w:rsidP="005378CA">
      <w:pPr>
        <w:pStyle w:val="ListParagraph"/>
        <w:numPr>
          <w:ilvl w:val="0"/>
          <w:numId w:val="16"/>
        </w:numPr>
        <w:spacing w:after="0" w:line="240" w:lineRule="auto"/>
        <w:jc w:val="both"/>
        <w:rPr>
          <w:rFonts w:asciiTheme="majorHAnsi" w:hAnsiTheme="majorHAnsi" w:cs="Times New Roman"/>
          <w:sz w:val="24"/>
          <w:szCs w:val="24"/>
          <w:lang w:val="en-GB"/>
        </w:rPr>
      </w:pPr>
      <w:r w:rsidRPr="00AA566D">
        <w:rPr>
          <w:rFonts w:asciiTheme="majorHAnsi" w:hAnsiTheme="majorHAnsi" w:cs="Times New Roman"/>
          <w:sz w:val="24"/>
          <w:szCs w:val="24"/>
          <w:lang w:val="en-GB"/>
        </w:rPr>
        <w:t>T</w:t>
      </w:r>
      <w:r w:rsidR="009578F9" w:rsidRPr="00AA566D">
        <w:rPr>
          <w:rFonts w:asciiTheme="majorHAnsi" w:hAnsiTheme="majorHAnsi" w:cs="Times New Roman"/>
          <w:sz w:val="24"/>
          <w:szCs w:val="24"/>
          <w:lang w:val="en-GB"/>
        </w:rPr>
        <w:t xml:space="preserve">arget </w:t>
      </w:r>
      <w:r w:rsidRPr="00AA566D">
        <w:rPr>
          <w:rFonts w:asciiTheme="majorHAnsi" w:hAnsiTheme="majorHAnsi" w:cs="Times New Roman"/>
          <w:sz w:val="24"/>
          <w:szCs w:val="24"/>
          <w:lang w:val="en-GB"/>
        </w:rPr>
        <w:t>4.</w:t>
      </w:r>
      <w:r w:rsidR="009578F9" w:rsidRPr="00AA566D">
        <w:rPr>
          <w:rFonts w:asciiTheme="majorHAnsi" w:hAnsiTheme="majorHAnsi" w:cs="Times New Roman"/>
          <w:sz w:val="24"/>
          <w:szCs w:val="24"/>
          <w:lang w:val="en-GB"/>
        </w:rPr>
        <w:t>4: “</w:t>
      </w:r>
      <w:r w:rsidRPr="00AA566D">
        <w:rPr>
          <w:rFonts w:asciiTheme="majorHAnsi" w:hAnsiTheme="majorHAnsi" w:cs="Times New Roman"/>
          <w:sz w:val="24"/>
          <w:szCs w:val="24"/>
          <w:lang w:val="en-GB"/>
        </w:rPr>
        <w:t>b</w:t>
      </w:r>
      <w:r w:rsidR="009578F9" w:rsidRPr="00AA566D">
        <w:rPr>
          <w:rFonts w:asciiTheme="majorHAnsi" w:hAnsiTheme="majorHAnsi" w:cs="Times New Roman"/>
          <w:sz w:val="24"/>
          <w:szCs w:val="24"/>
          <w:lang w:val="en-GB"/>
        </w:rPr>
        <w:t>y  2030, substantially  increase  the  number  of  youth  and  adults  who  have relevant skills, including technical and vocational skills, for employment, decent work and entrepreneurship</w:t>
      </w:r>
      <w:r w:rsidR="002C0BC3">
        <w:rPr>
          <w:rFonts w:asciiTheme="majorHAnsi" w:hAnsiTheme="majorHAnsi" w:cs="Times New Roman"/>
          <w:sz w:val="24"/>
          <w:szCs w:val="24"/>
          <w:lang w:val="en-GB"/>
        </w:rPr>
        <w:t>;</w:t>
      </w:r>
      <w:r w:rsidR="009578F9" w:rsidRPr="00AA566D">
        <w:rPr>
          <w:rFonts w:asciiTheme="majorHAnsi" w:hAnsiTheme="majorHAnsi" w:cs="Times New Roman"/>
          <w:sz w:val="24"/>
          <w:szCs w:val="24"/>
          <w:lang w:val="en-GB"/>
        </w:rPr>
        <w:t>”</w:t>
      </w:r>
      <w:r w:rsidR="002C0BC3">
        <w:rPr>
          <w:rFonts w:asciiTheme="majorHAnsi" w:hAnsiTheme="majorHAnsi" w:cs="Times New Roman"/>
          <w:sz w:val="24"/>
          <w:szCs w:val="24"/>
          <w:lang w:val="en-GB"/>
        </w:rPr>
        <w:t xml:space="preserve"> and</w:t>
      </w:r>
    </w:p>
    <w:p w14:paraId="16F2079C" w14:textId="00AE8376" w:rsidR="00D2587D" w:rsidRPr="00AA566D" w:rsidRDefault="00AD4839" w:rsidP="005378CA">
      <w:pPr>
        <w:pStyle w:val="ListParagraph"/>
        <w:numPr>
          <w:ilvl w:val="0"/>
          <w:numId w:val="16"/>
        </w:numPr>
        <w:spacing w:after="0" w:line="240" w:lineRule="auto"/>
        <w:jc w:val="both"/>
        <w:rPr>
          <w:rFonts w:asciiTheme="majorHAnsi" w:hAnsiTheme="majorHAnsi" w:cs="Times New Roman"/>
          <w:sz w:val="24"/>
          <w:szCs w:val="24"/>
          <w:lang w:val="en-GB"/>
        </w:rPr>
      </w:pPr>
      <w:r w:rsidRPr="00AA566D">
        <w:rPr>
          <w:rFonts w:asciiTheme="majorHAnsi" w:hAnsiTheme="majorHAnsi" w:cs="Times New Roman"/>
          <w:sz w:val="24"/>
          <w:szCs w:val="24"/>
          <w:lang w:val="en-GB"/>
        </w:rPr>
        <w:t>T</w:t>
      </w:r>
      <w:r w:rsidR="009578F9" w:rsidRPr="00AA566D">
        <w:rPr>
          <w:rFonts w:asciiTheme="majorHAnsi" w:hAnsiTheme="majorHAnsi" w:cs="Times New Roman"/>
          <w:sz w:val="24"/>
          <w:szCs w:val="24"/>
          <w:lang w:val="en-GB"/>
        </w:rPr>
        <w:t xml:space="preserve">arget 5 aims at ensuring equal access to all  levels  of  education  and  vocational  training  for  the  vulnerable. </w:t>
      </w:r>
    </w:p>
    <w:p w14:paraId="194191E2" w14:textId="77777777" w:rsidR="00D2587D" w:rsidRPr="00AA566D" w:rsidRDefault="00D2587D" w:rsidP="00D2587D">
      <w:pPr>
        <w:spacing w:after="0" w:line="240" w:lineRule="auto"/>
        <w:jc w:val="both"/>
        <w:rPr>
          <w:rFonts w:asciiTheme="majorHAnsi" w:hAnsiTheme="majorHAnsi" w:cs="Times New Roman"/>
          <w:sz w:val="24"/>
          <w:szCs w:val="24"/>
          <w:lang w:val="en-GB"/>
        </w:rPr>
      </w:pPr>
    </w:p>
    <w:p w14:paraId="07C073A0" w14:textId="478080AE" w:rsidR="009578F9" w:rsidRPr="00AA566D" w:rsidRDefault="009578F9" w:rsidP="00D2587D">
      <w:pPr>
        <w:spacing w:after="0" w:line="240" w:lineRule="auto"/>
        <w:jc w:val="both"/>
        <w:rPr>
          <w:rFonts w:asciiTheme="majorHAnsi" w:hAnsiTheme="majorHAnsi" w:cs="Times New Roman"/>
          <w:sz w:val="24"/>
          <w:szCs w:val="24"/>
          <w:lang w:val="en-GB"/>
        </w:rPr>
      </w:pPr>
      <w:r w:rsidRPr="00AA566D">
        <w:rPr>
          <w:rFonts w:asciiTheme="majorHAnsi" w:hAnsiTheme="majorHAnsi" w:cs="Times New Roman"/>
          <w:sz w:val="24"/>
          <w:szCs w:val="24"/>
          <w:lang w:val="en-GB"/>
        </w:rPr>
        <w:t>At this juncture, supporting countries to develop and implement education and tra</w:t>
      </w:r>
      <w:r w:rsidR="00DC3CF3" w:rsidRPr="00AA566D">
        <w:rPr>
          <w:rFonts w:asciiTheme="majorHAnsi" w:hAnsiTheme="majorHAnsi" w:cs="Times New Roman"/>
          <w:sz w:val="24"/>
          <w:szCs w:val="24"/>
          <w:lang w:val="en-GB"/>
        </w:rPr>
        <w:t>ining systems that provide youth</w:t>
      </w:r>
      <w:r w:rsidRPr="00AA566D">
        <w:rPr>
          <w:rFonts w:asciiTheme="majorHAnsi" w:hAnsiTheme="majorHAnsi" w:cs="Times New Roman"/>
          <w:sz w:val="24"/>
          <w:szCs w:val="24"/>
          <w:lang w:val="en-GB"/>
        </w:rPr>
        <w:t xml:space="preserve"> with </w:t>
      </w:r>
      <w:r w:rsidR="00AD4839" w:rsidRPr="00AA566D">
        <w:rPr>
          <w:rFonts w:asciiTheme="majorHAnsi" w:hAnsiTheme="majorHAnsi" w:cs="Times New Roman"/>
          <w:sz w:val="24"/>
          <w:szCs w:val="24"/>
          <w:lang w:val="en-GB"/>
        </w:rPr>
        <w:t xml:space="preserve">relevant </w:t>
      </w:r>
      <w:r w:rsidRPr="00AA566D">
        <w:rPr>
          <w:rFonts w:asciiTheme="majorHAnsi" w:hAnsiTheme="majorHAnsi" w:cs="Times New Roman"/>
          <w:sz w:val="24"/>
          <w:szCs w:val="24"/>
          <w:lang w:val="en-GB"/>
        </w:rPr>
        <w:t>skills in line with the needs of the</w:t>
      </w:r>
      <w:r w:rsidR="00AD4839" w:rsidRPr="00AA566D">
        <w:rPr>
          <w:rFonts w:asciiTheme="majorHAnsi" w:hAnsiTheme="majorHAnsi" w:cs="Times New Roman"/>
          <w:sz w:val="24"/>
          <w:szCs w:val="24"/>
          <w:lang w:val="en-GB"/>
        </w:rPr>
        <w:t xml:space="preserve"> local</w:t>
      </w:r>
      <w:r w:rsidRPr="00AA566D">
        <w:rPr>
          <w:rFonts w:asciiTheme="majorHAnsi" w:hAnsiTheme="majorHAnsi" w:cs="Times New Roman"/>
          <w:sz w:val="24"/>
          <w:szCs w:val="24"/>
          <w:lang w:val="en-GB"/>
        </w:rPr>
        <w:t xml:space="preserve"> economy </w:t>
      </w:r>
      <w:r w:rsidR="00AD4839" w:rsidRPr="00AA566D">
        <w:rPr>
          <w:rFonts w:asciiTheme="majorHAnsi" w:hAnsiTheme="majorHAnsi" w:cs="Times New Roman"/>
          <w:sz w:val="24"/>
          <w:szCs w:val="24"/>
          <w:lang w:val="en-GB"/>
        </w:rPr>
        <w:t>is</w:t>
      </w:r>
      <w:r w:rsidRPr="00AA566D">
        <w:rPr>
          <w:rFonts w:asciiTheme="majorHAnsi" w:hAnsiTheme="majorHAnsi" w:cs="Times New Roman"/>
          <w:sz w:val="24"/>
          <w:szCs w:val="24"/>
          <w:lang w:val="en-GB"/>
        </w:rPr>
        <w:t xml:space="preserve"> as a key challenge in the region.</w:t>
      </w:r>
      <w:r w:rsidR="006A373A" w:rsidRPr="00AA566D">
        <w:rPr>
          <w:rFonts w:asciiTheme="majorHAnsi" w:hAnsiTheme="majorHAnsi" w:cs="Times New Roman"/>
          <w:sz w:val="24"/>
          <w:szCs w:val="24"/>
          <w:lang w:val="en-GB"/>
        </w:rPr>
        <w:t xml:space="preserve"> It is in this respe</w:t>
      </w:r>
      <w:r w:rsidR="00C3323A" w:rsidRPr="00AA566D">
        <w:rPr>
          <w:rFonts w:asciiTheme="majorHAnsi" w:hAnsiTheme="majorHAnsi" w:cs="Times New Roman"/>
          <w:sz w:val="24"/>
          <w:szCs w:val="24"/>
          <w:lang w:val="en-GB"/>
        </w:rPr>
        <w:t xml:space="preserve">ct that the </w:t>
      </w:r>
      <w:r w:rsidR="00B8570F" w:rsidRPr="00AA566D">
        <w:rPr>
          <w:rFonts w:asciiTheme="majorHAnsi" w:hAnsiTheme="majorHAnsi" w:cs="Times New Roman"/>
          <w:sz w:val="24"/>
          <w:szCs w:val="24"/>
          <w:lang w:val="en-GB"/>
        </w:rPr>
        <w:t xml:space="preserve">present </w:t>
      </w:r>
      <w:r w:rsidR="00AD4839" w:rsidRPr="00AA566D">
        <w:rPr>
          <w:rFonts w:asciiTheme="majorHAnsi" w:hAnsiTheme="majorHAnsi" w:cs="Times New Roman"/>
          <w:sz w:val="24"/>
          <w:szCs w:val="24"/>
          <w:lang w:val="en-GB"/>
        </w:rPr>
        <w:t xml:space="preserve">study </w:t>
      </w:r>
      <w:r w:rsidR="00C3323A" w:rsidRPr="00AA566D">
        <w:rPr>
          <w:rFonts w:asciiTheme="majorHAnsi" w:hAnsiTheme="majorHAnsi" w:cs="Times New Roman"/>
          <w:sz w:val="24"/>
          <w:szCs w:val="24"/>
          <w:lang w:val="en-GB"/>
        </w:rPr>
        <w:t>is proposed.</w:t>
      </w:r>
    </w:p>
    <w:p w14:paraId="7D2080BC" w14:textId="77777777" w:rsidR="00C3323A" w:rsidRPr="00AA566D" w:rsidRDefault="00C3323A" w:rsidP="00D2587D">
      <w:pPr>
        <w:spacing w:after="0" w:line="240" w:lineRule="auto"/>
        <w:jc w:val="both"/>
        <w:rPr>
          <w:rFonts w:asciiTheme="majorHAnsi" w:hAnsiTheme="majorHAnsi" w:cs="Times New Roman"/>
          <w:sz w:val="24"/>
          <w:szCs w:val="24"/>
          <w:lang w:val="en-GB"/>
        </w:rPr>
      </w:pPr>
    </w:p>
    <w:p w14:paraId="62F7B4AA" w14:textId="77777777" w:rsidR="00C3323A" w:rsidRPr="00AA566D" w:rsidRDefault="00C3323A" w:rsidP="00D2587D">
      <w:pPr>
        <w:spacing w:after="0" w:line="240" w:lineRule="auto"/>
        <w:jc w:val="both"/>
        <w:rPr>
          <w:rFonts w:asciiTheme="majorHAnsi" w:hAnsiTheme="majorHAnsi" w:cs="Times New Roman"/>
          <w:sz w:val="24"/>
          <w:szCs w:val="24"/>
          <w:lang w:val="en-GB"/>
        </w:rPr>
      </w:pPr>
    </w:p>
    <w:p w14:paraId="53DACE13" w14:textId="2C4FEF24" w:rsidR="00BF59CE" w:rsidRPr="00AA566D" w:rsidRDefault="00BF59CE" w:rsidP="002C0BC3">
      <w:pPr>
        <w:numPr>
          <w:ilvl w:val="0"/>
          <w:numId w:val="2"/>
        </w:numPr>
        <w:tabs>
          <w:tab w:val="left" w:pos="709"/>
        </w:tabs>
        <w:spacing w:after="0" w:line="240" w:lineRule="auto"/>
        <w:ind w:left="142" w:firstLine="0"/>
        <w:jc w:val="both"/>
        <w:rPr>
          <w:rFonts w:asciiTheme="majorHAnsi" w:hAnsiTheme="majorHAnsi" w:cs="Times New Roman"/>
          <w:b/>
          <w:color w:val="2E74B5" w:themeColor="accent1" w:themeShade="BF"/>
          <w:sz w:val="24"/>
          <w:szCs w:val="24"/>
          <w:u w:val="single"/>
          <w:lang w:val="en-US"/>
        </w:rPr>
      </w:pPr>
      <w:r w:rsidRPr="00AA566D">
        <w:rPr>
          <w:rFonts w:asciiTheme="majorHAnsi" w:hAnsiTheme="majorHAnsi" w:cs="Times New Roman"/>
          <w:b/>
          <w:color w:val="2E74B5" w:themeColor="accent1" w:themeShade="BF"/>
          <w:sz w:val="24"/>
          <w:szCs w:val="24"/>
          <w:u w:val="single"/>
          <w:lang w:val="en-US"/>
        </w:rPr>
        <w:t>Purpose of the</w:t>
      </w:r>
      <w:r w:rsidR="00B8570F" w:rsidRPr="00AA566D">
        <w:rPr>
          <w:rFonts w:asciiTheme="majorHAnsi" w:hAnsiTheme="majorHAnsi" w:cs="Times New Roman"/>
          <w:b/>
          <w:color w:val="2E74B5" w:themeColor="accent1" w:themeShade="BF"/>
          <w:sz w:val="24"/>
          <w:szCs w:val="24"/>
          <w:u w:val="single"/>
          <w:lang w:val="en-US"/>
        </w:rPr>
        <w:t xml:space="preserve"> </w:t>
      </w:r>
      <w:r w:rsidR="00AD4839" w:rsidRPr="00AA566D">
        <w:rPr>
          <w:rFonts w:asciiTheme="majorHAnsi" w:hAnsiTheme="majorHAnsi" w:cs="Times New Roman"/>
          <w:b/>
          <w:color w:val="2E74B5" w:themeColor="accent1" w:themeShade="BF"/>
          <w:sz w:val="24"/>
          <w:szCs w:val="24"/>
          <w:u w:val="single"/>
          <w:lang w:val="en-US"/>
        </w:rPr>
        <w:t>study</w:t>
      </w:r>
      <w:r w:rsidR="00B8570F" w:rsidRPr="00AA566D">
        <w:rPr>
          <w:rFonts w:asciiTheme="majorHAnsi" w:hAnsiTheme="majorHAnsi" w:cs="Times New Roman"/>
          <w:b/>
          <w:color w:val="2E74B5" w:themeColor="accent1" w:themeShade="BF"/>
          <w:sz w:val="24"/>
          <w:szCs w:val="24"/>
          <w:u w:val="single"/>
          <w:lang w:val="en-US"/>
        </w:rPr>
        <w:t xml:space="preserve"> (the</w:t>
      </w:r>
      <w:r w:rsidRPr="00AA566D">
        <w:rPr>
          <w:rFonts w:asciiTheme="majorHAnsi" w:hAnsiTheme="majorHAnsi" w:cs="Times New Roman"/>
          <w:b/>
          <w:color w:val="2E74B5" w:themeColor="accent1" w:themeShade="BF"/>
          <w:sz w:val="24"/>
          <w:szCs w:val="24"/>
          <w:u w:val="single"/>
          <w:lang w:val="en-US"/>
        </w:rPr>
        <w:t xml:space="preserve"> in-depth analysis</w:t>
      </w:r>
      <w:r w:rsidR="00B8570F" w:rsidRPr="00AA566D">
        <w:rPr>
          <w:rFonts w:asciiTheme="majorHAnsi" w:hAnsiTheme="majorHAnsi" w:cs="Times New Roman"/>
          <w:b/>
          <w:color w:val="2E74B5" w:themeColor="accent1" w:themeShade="BF"/>
          <w:sz w:val="24"/>
          <w:szCs w:val="24"/>
          <w:u w:val="single"/>
          <w:lang w:val="en-US"/>
        </w:rPr>
        <w:t>)</w:t>
      </w:r>
    </w:p>
    <w:p w14:paraId="0C209376" w14:textId="77777777" w:rsidR="006D5E53" w:rsidRPr="00AA566D" w:rsidRDefault="006D5E53" w:rsidP="00D2587D">
      <w:pPr>
        <w:tabs>
          <w:tab w:val="left" w:pos="426"/>
        </w:tabs>
        <w:spacing w:after="0" w:line="240" w:lineRule="auto"/>
        <w:ind w:left="142"/>
        <w:jc w:val="both"/>
        <w:rPr>
          <w:rFonts w:asciiTheme="majorHAnsi" w:hAnsiTheme="majorHAnsi" w:cs="Times New Roman"/>
          <w:b/>
          <w:color w:val="002060"/>
          <w:sz w:val="24"/>
          <w:szCs w:val="24"/>
          <w:u w:val="single"/>
          <w:lang w:val="en-US"/>
        </w:rPr>
      </w:pPr>
    </w:p>
    <w:p w14:paraId="58C5C033" w14:textId="66854AF4" w:rsidR="00C3323A" w:rsidRPr="00AA566D" w:rsidRDefault="00C3323A" w:rsidP="00D2587D">
      <w:pPr>
        <w:spacing w:after="0" w:line="240" w:lineRule="auto"/>
        <w:jc w:val="both"/>
        <w:rPr>
          <w:rFonts w:asciiTheme="majorHAnsi" w:hAnsiTheme="majorHAnsi" w:cs="Times New Roman"/>
          <w:sz w:val="24"/>
          <w:szCs w:val="24"/>
          <w:lang w:val="en-GB"/>
        </w:rPr>
      </w:pPr>
      <w:r w:rsidRPr="00AA566D">
        <w:rPr>
          <w:rFonts w:asciiTheme="majorHAnsi" w:hAnsiTheme="majorHAnsi" w:cs="Times New Roman"/>
          <w:sz w:val="24"/>
          <w:szCs w:val="24"/>
          <w:lang w:val="en-GB"/>
        </w:rPr>
        <w:t xml:space="preserve">Although </w:t>
      </w:r>
      <w:r w:rsidR="00B8570F" w:rsidRPr="00AA566D">
        <w:rPr>
          <w:rFonts w:asciiTheme="majorHAnsi" w:hAnsiTheme="majorHAnsi" w:cs="Times New Roman"/>
          <w:sz w:val="24"/>
          <w:szCs w:val="24"/>
          <w:lang w:val="en-GB"/>
        </w:rPr>
        <w:t>labour</w:t>
      </w:r>
      <w:r w:rsidRPr="00AA566D">
        <w:rPr>
          <w:rFonts w:asciiTheme="majorHAnsi" w:hAnsiTheme="majorHAnsi" w:cs="Times New Roman"/>
          <w:sz w:val="24"/>
          <w:szCs w:val="24"/>
          <w:lang w:val="en-GB"/>
        </w:rPr>
        <w:t xml:space="preserve"> market outcomes depend on a myriad of factors (household </w:t>
      </w:r>
      <w:r w:rsidR="00B8570F" w:rsidRPr="00AA566D">
        <w:rPr>
          <w:rFonts w:asciiTheme="majorHAnsi" w:hAnsiTheme="majorHAnsi" w:cs="Times New Roman"/>
          <w:sz w:val="24"/>
          <w:szCs w:val="24"/>
          <w:lang w:val="en-GB"/>
        </w:rPr>
        <w:t>labour</w:t>
      </w:r>
      <w:r w:rsidRPr="00AA566D">
        <w:rPr>
          <w:rFonts w:asciiTheme="majorHAnsi" w:hAnsiTheme="majorHAnsi" w:cs="Times New Roman"/>
          <w:sz w:val="24"/>
          <w:szCs w:val="24"/>
          <w:lang w:val="en-GB"/>
        </w:rPr>
        <w:t xml:space="preserve"> supply decisions, the influence of the product market on the </w:t>
      </w:r>
      <w:r w:rsidR="00B8570F" w:rsidRPr="00AA566D">
        <w:rPr>
          <w:rFonts w:asciiTheme="majorHAnsi" w:hAnsiTheme="majorHAnsi" w:cs="Times New Roman"/>
          <w:sz w:val="24"/>
          <w:szCs w:val="24"/>
          <w:lang w:val="en-GB"/>
        </w:rPr>
        <w:t>labour</w:t>
      </w:r>
      <w:r w:rsidRPr="00AA566D">
        <w:rPr>
          <w:rFonts w:asciiTheme="majorHAnsi" w:hAnsiTheme="majorHAnsi" w:cs="Times New Roman"/>
          <w:sz w:val="24"/>
          <w:szCs w:val="24"/>
          <w:lang w:val="en-GB"/>
        </w:rPr>
        <w:t xml:space="preserve"> market, the investment climate in a given country, growth and productivity, financial markets, foreign direct investment…), education and relevant skills remain the main determinants of good </w:t>
      </w:r>
      <w:r w:rsidR="00B8570F" w:rsidRPr="00AA566D">
        <w:rPr>
          <w:rFonts w:asciiTheme="majorHAnsi" w:hAnsiTheme="majorHAnsi" w:cs="Times New Roman"/>
          <w:sz w:val="24"/>
          <w:szCs w:val="24"/>
          <w:lang w:val="en-GB"/>
        </w:rPr>
        <w:t>labour</w:t>
      </w:r>
      <w:r w:rsidRPr="00AA566D">
        <w:rPr>
          <w:rFonts w:asciiTheme="majorHAnsi" w:hAnsiTheme="majorHAnsi" w:cs="Times New Roman"/>
          <w:sz w:val="24"/>
          <w:szCs w:val="24"/>
          <w:lang w:val="en-GB"/>
        </w:rPr>
        <w:t xml:space="preserve"> market outcomes for individuals.  A country’s development and </w:t>
      </w:r>
      <w:r w:rsidR="00AA566D" w:rsidRPr="00AA566D">
        <w:rPr>
          <w:rFonts w:asciiTheme="majorHAnsi" w:hAnsiTheme="majorHAnsi" w:cs="Times New Roman"/>
          <w:sz w:val="24"/>
          <w:szCs w:val="24"/>
          <w:lang w:val="en-GB"/>
        </w:rPr>
        <w:t xml:space="preserve">competitive </w:t>
      </w:r>
      <w:r w:rsidRPr="00AA566D">
        <w:rPr>
          <w:rFonts w:asciiTheme="majorHAnsi" w:hAnsiTheme="majorHAnsi" w:cs="Times New Roman"/>
          <w:sz w:val="24"/>
          <w:szCs w:val="24"/>
          <w:lang w:val="en-GB"/>
        </w:rPr>
        <w:t xml:space="preserve">edge in the global economy, therefore, depend on the creation of a highly skilled workforce with the ability to access, adapt, apply, and create new knowledge and technologies. Education plays a central role in preparing individuals to enter the </w:t>
      </w:r>
      <w:r w:rsidR="00B8570F" w:rsidRPr="00AA566D">
        <w:rPr>
          <w:rFonts w:asciiTheme="majorHAnsi" w:hAnsiTheme="majorHAnsi" w:cs="Times New Roman"/>
          <w:sz w:val="24"/>
          <w:szCs w:val="24"/>
          <w:lang w:val="en-GB"/>
        </w:rPr>
        <w:t>labour</w:t>
      </w:r>
      <w:r w:rsidRPr="00AA566D">
        <w:rPr>
          <w:rFonts w:asciiTheme="majorHAnsi" w:hAnsiTheme="majorHAnsi" w:cs="Times New Roman"/>
          <w:sz w:val="24"/>
          <w:szCs w:val="24"/>
          <w:lang w:val="en-GB"/>
        </w:rPr>
        <w:t xml:space="preserve"> force</w:t>
      </w:r>
      <w:r w:rsidR="00AD4839" w:rsidRPr="00AA566D">
        <w:rPr>
          <w:rFonts w:asciiTheme="majorHAnsi" w:hAnsiTheme="majorHAnsi" w:cs="Times New Roman"/>
          <w:sz w:val="24"/>
          <w:szCs w:val="24"/>
          <w:lang w:val="en-GB"/>
        </w:rPr>
        <w:t xml:space="preserve">, to become productive members of society who live together in peace </w:t>
      </w:r>
      <w:r w:rsidRPr="00AA566D">
        <w:rPr>
          <w:rFonts w:asciiTheme="majorHAnsi" w:hAnsiTheme="majorHAnsi" w:cs="Times New Roman"/>
          <w:sz w:val="24"/>
          <w:szCs w:val="24"/>
          <w:lang w:val="en-GB"/>
        </w:rPr>
        <w:t xml:space="preserve">and in equipping </w:t>
      </w:r>
      <w:r w:rsidR="00AD4839" w:rsidRPr="00AA566D">
        <w:rPr>
          <w:rFonts w:asciiTheme="majorHAnsi" w:hAnsiTheme="majorHAnsi" w:cs="Times New Roman"/>
          <w:sz w:val="24"/>
          <w:szCs w:val="24"/>
          <w:lang w:val="en-GB"/>
        </w:rPr>
        <w:t xml:space="preserve">citizens </w:t>
      </w:r>
      <w:r w:rsidRPr="00AA566D">
        <w:rPr>
          <w:rFonts w:asciiTheme="majorHAnsi" w:hAnsiTheme="majorHAnsi" w:cs="Times New Roman"/>
          <w:sz w:val="24"/>
          <w:szCs w:val="24"/>
          <w:lang w:val="en-GB"/>
        </w:rPr>
        <w:t>with the skills needed to engage in lifelong learning experiences.</w:t>
      </w:r>
      <w:r w:rsidR="006F36A5" w:rsidRPr="00AA566D">
        <w:rPr>
          <w:rFonts w:asciiTheme="majorHAnsi" w:hAnsiTheme="majorHAnsi" w:cs="Times New Roman"/>
          <w:sz w:val="24"/>
          <w:szCs w:val="24"/>
          <w:lang w:val="en-GB"/>
        </w:rPr>
        <w:t xml:space="preserve"> It is </w:t>
      </w:r>
    </w:p>
    <w:p w14:paraId="356B566B" w14:textId="77777777" w:rsidR="00C3323A" w:rsidRPr="00AA566D" w:rsidRDefault="00C3323A" w:rsidP="00D2587D">
      <w:pPr>
        <w:spacing w:after="0" w:line="240" w:lineRule="auto"/>
        <w:jc w:val="both"/>
        <w:rPr>
          <w:rFonts w:asciiTheme="majorHAnsi" w:hAnsiTheme="majorHAnsi" w:cs="Times New Roman"/>
          <w:b/>
          <w:sz w:val="24"/>
          <w:szCs w:val="24"/>
          <w:lang w:val="en-GB"/>
        </w:rPr>
      </w:pPr>
    </w:p>
    <w:p w14:paraId="71DF244E" w14:textId="39E831D9" w:rsidR="00BF59CE" w:rsidRPr="00AA566D" w:rsidRDefault="00BF59CE"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Given the importance of the </w:t>
      </w:r>
      <w:r w:rsidR="00BB0006" w:rsidRPr="00AA566D">
        <w:rPr>
          <w:rFonts w:asciiTheme="majorHAnsi" w:hAnsiTheme="majorHAnsi" w:cs="Times New Roman"/>
          <w:sz w:val="24"/>
          <w:szCs w:val="24"/>
          <w:lang w:val="en-US"/>
        </w:rPr>
        <w:t>labo</w:t>
      </w:r>
      <w:r w:rsidR="00AA566D"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Pr="00AA566D">
        <w:rPr>
          <w:rFonts w:asciiTheme="majorHAnsi" w:hAnsiTheme="majorHAnsi" w:cs="Times New Roman"/>
          <w:sz w:val="24"/>
          <w:szCs w:val="24"/>
          <w:lang w:val="en-US"/>
        </w:rPr>
        <w:t xml:space="preserve"> market relevance and outcomes of </w:t>
      </w:r>
      <w:r w:rsidR="006F36A5" w:rsidRPr="00AA566D">
        <w:rPr>
          <w:rFonts w:asciiTheme="majorHAnsi" w:hAnsiTheme="majorHAnsi" w:cs="Times New Roman"/>
          <w:sz w:val="24"/>
          <w:szCs w:val="24"/>
          <w:lang w:val="en-US"/>
        </w:rPr>
        <w:t>education</w:t>
      </w:r>
      <w:r w:rsidRPr="00AA566D">
        <w:rPr>
          <w:rFonts w:asciiTheme="majorHAnsi" w:hAnsiTheme="majorHAnsi" w:cs="Times New Roman"/>
          <w:sz w:val="24"/>
          <w:szCs w:val="24"/>
          <w:lang w:val="en-US"/>
        </w:rPr>
        <w:t xml:space="preserve"> systems, </w:t>
      </w:r>
      <w:r w:rsidR="006F36A5" w:rsidRPr="00AA566D">
        <w:rPr>
          <w:rFonts w:asciiTheme="majorHAnsi" w:hAnsiTheme="majorHAnsi" w:cs="Times New Roman"/>
          <w:sz w:val="24"/>
          <w:szCs w:val="24"/>
          <w:lang w:val="en-US"/>
        </w:rPr>
        <w:t xml:space="preserve">it </w:t>
      </w:r>
      <w:r w:rsidR="000F03C9" w:rsidRPr="00AA566D">
        <w:rPr>
          <w:rFonts w:asciiTheme="majorHAnsi" w:hAnsiTheme="majorHAnsi" w:cs="Times New Roman"/>
          <w:sz w:val="24"/>
          <w:szCs w:val="24"/>
          <w:lang w:val="en-US"/>
        </w:rPr>
        <w:t>is important to regularly undertake analysis on</w:t>
      </w:r>
      <w:r w:rsidRPr="00AA566D">
        <w:rPr>
          <w:rFonts w:asciiTheme="majorHAnsi" w:hAnsiTheme="majorHAnsi" w:cs="Times New Roman"/>
          <w:sz w:val="24"/>
          <w:szCs w:val="24"/>
          <w:lang w:val="en-US"/>
        </w:rPr>
        <w:t xml:space="preserve"> th</w:t>
      </w:r>
      <w:r w:rsidR="000F03C9" w:rsidRPr="00AA566D">
        <w:rPr>
          <w:rFonts w:asciiTheme="majorHAnsi" w:hAnsiTheme="majorHAnsi" w:cs="Times New Roman"/>
          <w:sz w:val="24"/>
          <w:szCs w:val="24"/>
          <w:lang w:val="en-US"/>
        </w:rPr>
        <w:t>e</w:t>
      </w:r>
      <w:r w:rsidRPr="00AA566D">
        <w:rPr>
          <w:rFonts w:asciiTheme="majorHAnsi" w:hAnsiTheme="majorHAnsi" w:cs="Times New Roman"/>
          <w:sz w:val="24"/>
          <w:szCs w:val="24"/>
          <w:lang w:val="en-US"/>
        </w:rPr>
        <w:t xml:space="preserve"> topic and develop</w:t>
      </w:r>
      <w:r w:rsidR="00BB0006" w:rsidRPr="00AA566D">
        <w:rPr>
          <w:rFonts w:asciiTheme="majorHAnsi" w:hAnsiTheme="majorHAnsi" w:cs="Times New Roman"/>
          <w:sz w:val="24"/>
          <w:szCs w:val="24"/>
          <w:lang w:val="en-US"/>
        </w:rPr>
        <w:t xml:space="preserve"> recommendations that can </w:t>
      </w:r>
      <w:r w:rsidR="00BB0006" w:rsidRPr="00AA566D">
        <w:rPr>
          <w:rFonts w:asciiTheme="majorHAnsi" w:hAnsiTheme="majorHAnsi" w:cs="Times New Roman"/>
          <w:sz w:val="24"/>
          <w:szCs w:val="24"/>
          <w:lang w:val="en-US"/>
        </w:rPr>
        <w:lastRenderedPageBreak/>
        <w:t xml:space="preserve">help </w:t>
      </w:r>
      <w:r w:rsidR="00AD4839" w:rsidRPr="00AA566D">
        <w:rPr>
          <w:rFonts w:asciiTheme="majorHAnsi" w:hAnsiTheme="majorHAnsi" w:cs="Times New Roman"/>
          <w:sz w:val="24"/>
          <w:szCs w:val="24"/>
          <w:lang w:val="en-US"/>
        </w:rPr>
        <w:t>W</w:t>
      </w:r>
      <w:r w:rsidR="00BB0006" w:rsidRPr="00AA566D">
        <w:rPr>
          <w:rFonts w:asciiTheme="majorHAnsi" w:hAnsiTheme="majorHAnsi" w:cs="Times New Roman"/>
          <w:sz w:val="24"/>
          <w:szCs w:val="24"/>
          <w:lang w:val="en-US"/>
        </w:rPr>
        <w:t xml:space="preserve">est and </w:t>
      </w:r>
      <w:r w:rsidR="00AD4839" w:rsidRPr="00AA566D">
        <w:rPr>
          <w:rFonts w:asciiTheme="majorHAnsi" w:hAnsiTheme="majorHAnsi" w:cs="Times New Roman"/>
          <w:sz w:val="24"/>
          <w:szCs w:val="24"/>
          <w:lang w:val="en-US"/>
        </w:rPr>
        <w:t>C</w:t>
      </w:r>
      <w:r w:rsidR="00BB0006" w:rsidRPr="00AA566D">
        <w:rPr>
          <w:rFonts w:asciiTheme="majorHAnsi" w:hAnsiTheme="majorHAnsi" w:cs="Times New Roman"/>
          <w:sz w:val="24"/>
          <w:szCs w:val="24"/>
          <w:lang w:val="en-US"/>
        </w:rPr>
        <w:t>entral Africa</w:t>
      </w:r>
      <w:r w:rsidR="00CE3D2F" w:rsidRPr="00AA566D">
        <w:rPr>
          <w:rFonts w:asciiTheme="majorHAnsi" w:hAnsiTheme="majorHAnsi" w:cs="Times New Roman"/>
          <w:sz w:val="24"/>
          <w:szCs w:val="24"/>
          <w:lang w:val="en-US"/>
        </w:rPr>
        <w:t>n</w:t>
      </w:r>
      <w:r w:rsidR="00BB0006" w:rsidRPr="00AA566D">
        <w:rPr>
          <w:rFonts w:asciiTheme="majorHAnsi" w:hAnsiTheme="majorHAnsi" w:cs="Times New Roman"/>
          <w:sz w:val="24"/>
          <w:szCs w:val="24"/>
          <w:lang w:val="en-US"/>
        </w:rPr>
        <w:t xml:space="preserve"> countries to</w:t>
      </w:r>
      <w:r w:rsidR="006F36A5" w:rsidRPr="00AA566D">
        <w:rPr>
          <w:rFonts w:asciiTheme="majorHAnsi" w:hAnsiTheme="majorHAnsi" w:cs="Times New Roman"/>
          <w:sz w:val="24"/>
          <w:szCs w:val="24"/>
          <w:lang w:val="en-US"/>
        </w:rPr>
        <w:t xml:space="preserve"> ensure that</w:t>
      </w:r>
      <w:r w:rsidRPr="00AA566D">
        <w:rPr>
          <w:rFonts w:asciiTheme="majorHAnsi" w:hAnsiTheme="majorHAnsi" w:cs="Times New Roman"/>
          <w:sz w:val="24"/>
          <w:szCs w:val="24"/>
          <w:lang w:val="en-US"/>
        </w:rPr>
        <w:t xml:space="preserve"> students develop knowledge and skills that support good </w:t>
      </w:r>
      <w:r w:rsidR="00BB0006" w:rsidRPr="00AA566D">
        <w:rPr>
          <w:rFonts w:asciiTheme="majorHAnsi" w:hAnsiTheme="majorHAnsi" w:cs="Times New Roman"/>
          <w:sz w:val="24"/>
          <w:szCs w:val="24"/>
          <w:lang w:val="en-US"/>
        </w:rPr>
        <w:t>labo</w:t>
      </w:r>
      <w:r w:rsidR="00AD4839"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Pr="00AA566D">
        <w:rPr>
          <w:rFonts w:asciiTheme="majorHAnsi" w:hAnsiTheme="majorHAnsi" w:cs="Times New Roman"/>
          <w:sz w:val="24"/>
          <w:szCs w:val="24"/>
          <w:lang w:val="en-US"/>
        </w:rPr>
        <w:t xml:space="preserve"> market outcomes. </w:t>
      </w:r>
    </w:p>
    <w:p w14:paraId="62992361" w14:textId="2DE6E2AF" w:rsidR="00D2587D" w:rsidRPr="00AA566D" w:rsidRDefault="00D2587D" w:rsidP="00D2587D">
      <w:pPr>
        <w:spacing w:after="0" w:line="240" w:lineRule="auto"/>
        <w:jc w:val="both"/>
        <w:rPr>
          <w:rFonts w:asciiTheme="majorHAnsi" w:hAnsiTheme="majorHAnsi" w:cs="Times New Roman"/>
          <w:sz w:val="24"/>
          <w:szCs w:val="24"/>
          <w:lang w:val="en-US"/>
        </w:rPr>
      </w:pPr>
    </w:p>
    <w:p w14:paraId="2B470020" w14:textId="5189894E" w:rsidR="00D2587D" w:rsidRPr="00AA566D" w:rsidRDefault="006F36A5"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T</w:t>
      </w:r>
      <w:r w:rsidR="00BF59CE" w:rsidRPr="00AA566D">
        <w:rPr>
          <w:rFonts w:asciiTheme="majorHAnsi" w:hAnsiTheme="majorHAnsi" w:cs="Times New Roman"/>
          <w:sz w:val="24"/>
          <w:szCs w:val="24"/>
          <w:lang w:val="en-US"/>
        </w:rPr>
        <w:t>he ov</w:t>
      </w:r>
      <w:r w:rsidR="00AA566D" w:rsidRPr="00AA566D">
        <w:rPr>
          <w:rFonts w:asciiTheme="majorHAnsi" w:hAnsiTheme="majorHAnsi" w:cs="Times New Roman"/>
          <w:sz w:val="24"/>
          <w:szCs w:val="24"/>
          <w:lang w:val="en-US"/>
        </w:rPr>
        <w:t>erarching policy question is “w</w:t>
      </w:r>
      <w:r w:rsidR="00BF59CE" w:rsidRPr="00AA566D">
        <w:rPr>
          <w:rFonts w:asciiTheme="majorHAnsi" w:hAnsiTheme="majorHAnsi" w:cs="Times New Roman"/>
          <w:sz w:val="24"/>
          <w:szCs w:val="24"/>
          <w:lang w:val="en-US"/>
        </w:rPr>
        <w:t xml:space="preserve">hat can </w:t>
      </w:r>
      <w:r w:rsidR="00AA566D" w:rsidRPr="00AA566D">
        <w:rPr>
          <w:rFonts w:asciiTheme="majorHAnsi" w:hAnsiTheme="majorHAnsi" w:cs="Times New Roman"/>
          <w:sz w:val="24"/>
          <w:szCs w:val="24"/>
          <w:lang w:val="en-US"/>
        </w:rPr>
        <w:t>W</w:t>
      </w:r>
      <w:r w:rsidR="00D2587D" w:rsidRPr="00AA566D">
        <w:rPr>
          <w:rFonts w:asciiTheme="majorHAnsi" w:hAnsiTheme="majorHAnsi" w:cs="Times New Roman"/>
          <w:sz w:val="24"/>
          <w:szCs w:val="24"/>
          <w:lang w:val="en-US"/>
        </w:rPr>
        <w:t xml:space="preserve">est and </w:t>
      </w:r>
      <w:r w:rsidR="00AA566D" w:rsidRPr="00AA566D">
        <w:rPr>
          <w:rFonts w:asciiTheme="majorHAnsi" w:hAnsiTheme="majorHAnsi" w:cs="Times New Roman"/>
          <w:sz w:val="24"/>
          <w:szCs w:val="24"/>
          <w:lang w:val="en-US"/>
        </w:rPr>
        <w:t>C</w:t>
      </w:r>
      <w:r w:rsidR="00D2587D" w:rsidRPr="00AA566D">
        <w:rPr>
          <w:rFonts w:asciiTheme="majorHAnsi" w:hAnsiTheme="majorHAnsi" w:cs="Times New Roman"/>
          <w:sz w:val="24"/>
          <w:szCs w:val="24"/>
          <w:lang w:val="en-US"/>
        </w:rPr>
        <w:t>entral Africa</w:t>
      </w:r>
      <w:r w:rsidR="00AA566D" w:rsidRPr="00AA566D">
        <w:rPr>
          <w:rFonts w:asciiTheme="majorHAnsi" w:hAnsiTheme="majorHAnsi" w:cs="Times New Roman"/>
          <w:sz w:val="24"/>
          <w:szCs w:val="24"/>
          <w:lang w:val="en-US"/>
        </w:rPr>
        <w:t>n</w:t>
      </w:r>
      <w:r w:rsidR="00D2587D" w:rsidRPr="00AA566D">
        <w:rPr>
          <w:rFonts w:asciiTheme="majorHAnsi" w:hAnsiTheme="majorHAnsi" w:cs="Times New Roman"/>
          <w:sz w:val="24"/>
          <w:szCs w:val="24"/>
          <w:lang w:val="en-US"/>
        </w:rPr>
        <w:t xml:space="preserve"> </w:t>
      </w:r>
      <w:r w:rsidR="00BF59CE" w:rsidRPr="00AA566D">
        <w:rPr>
          <w:rFonts w:asciiTheme="majorHAnsi" w:hAnsiTheme="majorHAnsi" w:cs="Times New Roman"/>
          <w:sz w:val="24"/>
          <w:szCs w:val="24"/>
          <w:lang w:val="en-US"/>
        </w:rPr>
        <w:t>countries</w:t>
      </w:r>
      <w:r w:rsidR="00BB0006" w:rsidRPr="00AA566D">
        <w:rPr>
          <w:rFonts w:asciiTheme="majorHAnsi" w:hAnsiTheme="majorHAnsi" w:cs="Times New Roman"/>
          <w:sz w:val="24"/>
          <w:szCs w:val="24"/>
          <w:lang w:val="en-US"/>
        </w:rPr>
        <w:t xml:space="preserve"> </w:t>
      </w:r>
      <w:r w:rsidRPr="00AA566D">
        <w:rPr>
          <w:rFonts w:asciiTheme="majorHAnsi" w:hAnsiTheme="majorHAnsi" w:cs="Times New Roman"/>
          <w:sz w:val="24"/>
          <w:szCs w:val="24"/>
          <w:lang w:val="en-US"/>
        </w:rPr>
        <w:t>do to ensure that graduates</w:t>
      </w:r>
      <w:r w:rsidR="00BF59CE" w:rsidRPr="00AA566D">
        <w:rPr>
          <w:rFonts w:asciiTheme="majorHAnsi" w:hAnsiTheme="majorHAnsi" w:cs="Times New Roman"/>
          <w:sz w:val="24"/>
          <w:szCs w:val="24"/>
          <w:lang w:val="en-US"/>
        </w:rPr>
        <w:t xml:space="preserve"> develop the skills needed for good </w:t>
      </w:r>
      <w:r w:rsidR="00BB0006" w:rsidRPr="00AA566D">
        <w:rPr>
          <w:rFonts w:asciiTheme="majorHAnsi" w:hAnsiTheme="majorHAnsi" w:cs="Times New Roman"/>
          <w:sz w:val="24"/>
          <w:szCs w:val="24"/>
          <w:lang w:val="en-US"/>
        </w:rPr>
        <w:t>labo</w:t>
      </w:r>
      <w:r w:rsidR="00AA566D"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00BF59CE" w:rsidRPr="00AA566D">
        <w:rPr>
          <w:rFonts w:asciiTheme="majorHAnsi" w:hAnsiTheme="majorHAnsi" w:cs="Times New Roman"/>
          <w:sz w:val="24"/>
          <w:szCs w:val="24"/>
          <w:lang w:val="en-US"/>
        </w:rPr>
        <w:t xml:space="preserve"> market outcomes?”</w:t>
      </w:r>
    </w:p>
    <w:p w14:paraId="1C2974AD" w14:textId="26E49C25" w:rsidR="00BF59CE" w:rsidRPr="00AA566D" w:rsidRDefault="00BF59CE"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 </w:t>
      </w:r>
    </w:p>
    <w:p w14:paraId="7D6DD8A0" w14:textId="1556BF0C" w:rsidR="00BF59CE" w:rsidRPr="00AA566D" w:rsidRDefault="00BF59CE"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The </w:t>
      </w:r>
      <w:r w:rsidRPr="00AA566D">
        <w:rPr>
          <w:rFonts w:asciiTheme="majorHAnsi" w:hAnsiTheme="majorHAnsi" w:cs="Times New Roman"/>
          <w:b/>
          <w:sz w:val="24"/>
          <w:szCs w:val="24"/>
          <w:lang w:val="en-US"/>
        </w:rPr>
        <w:t>aim</w:t>
      </w:r>
      <w:r w:rsidRPr="00AA566D">
        <w:rPr>
          <w:rFonts w:asciiTheme="majorHAnsi" w:hAnsiTheme="majorHAnsi" w:cs="Times New Roman"/>
          <w:sz w:val="24"/>
          <w:szCs w:val="24"/>
          <w:lang w:val="en-US"/>
        </w:rPr>
        <w:t xml:space="preserve"> of the in-depth analysis is to assist </w:t>
      </w:r>
      <w:r w:rsidR="00CE3D2F" w:rsidRPr="00AA566D">
        <w:rPr>
          <w:rFonts w:asciiTheme="majorHAnsi" w:hAnsiTheme="majorHAnsi" w:cs="Times New Roman"/>
          <w:sz w:val="24"/>
          <w:szCs w:val="24"/>
          <w:lang w:val="en-US"/>
        </w:rPr>
        <w:t>W</w:t>
      </w:r>
      <w:r w:rsidR="00BB0006" w:rsidRPr="00AA566D">
        <w:rPr>
          <w:rFonts w:asciiTheme="majorHAnsi" w:hAnsiTheme="majorHAnsi" w:cs="Times New Roman"/>
          <w:sz w:val="24"/>
          <w:szCs w:val="24"/>
          <w:lang w:val="en-US"/>
        </w:rPr>
        <w:t xml:space="preserve">est and </w:t>
      </w:r>
      <w:r w:rsidR="00CE3D2F" w:rsidRPr="00AA566D">
        <w:rPr>
          <w:rFonts w:asciiTheme="majorHAnsi" w:hAnsiTheme="majorHAnsi" w:cs="Times New Roman"/>
          <w:sz w:val="24"/>
          <w:szCs w:val="24"/>
          <w:lang w:val="en-US"/>
        </w:rPr>
        <w:t>C</w:t>
      </w:r>
      <w:r w:rsidR="00BB0006" w:rsidRPr="00AA566D">
        <w:rPr>
          <w:rFonts w:asciiTheme="majorHAnsi" w:hAnsiTheme="majorHAnsi" w:cs="Times New Roman"/>
          <w:sz w:val="24"/>
          <w:szCs w:val="24"/>
          <w:lang w:val="en-US"/>
        </w:rPr>
        <w:t>entral Africa</w:t>
      </w:r>
      <w:r w:rsidR="00CE3D2F" w:rsidRPr="00AA566D">
        <w:rPr>
          <w:rFonts w:asciiTheme="majorHAnsi" w:hAnsiTheme="majorHAnsi" w:cs="Times New Roman"/>
          <w:sz w:val="24"/>
          <w:szCs w:val="24"/>
          <w:lang w:val="en-US"/>
        </w:rPr>
        <w:t>n</w:t>
      </w:r>
      <w:r w:rsidR="00BB0006" w:rsidRPr="00AA566D">
        <w:rPr>
          <w:rFonts w:asciiTheme="majorHAnsi" w:hAnsiTheme="majorHAnsi" w:cs="Times New Roman"/>
          <w:sz w:val="24"/>
          <w:szCs w:val="24"/>
          <w:lang w:val="en-US"/>
        </w:rPr>
        <w:t xml:space="preserve"> </w:t>
      </w:r>
      <w:r w:rsidRPr="00AA566D">
        <w:rPr>
          <w:rFonts w:asciiTheme="majorHAnsi" w:hAnsiTheme="majorHAnsi" w:cs="Times New Roman"/>
          <w:sz w:val="24"/>
          <w:szCs w:val="24"/>
          <w:lang w:val="en-US"/>
        </w:rPr>
        <w:t xml:space="preserve">countries in improving the </w:t>
      </w:r>
      <w:r w:rsidR="00BB0006" w:rsidRPr="00AA566D">
        <w:rPr>
          <w:rFonts w:asciiTheme="majorHAnsi" w:hAnsiTheme="majorHAnsi" w:cs="Times New Roman"/>
          <w:sz w:val="24"/>
          <w:szCs w:val="24"/>
          <w:lang w:val="en-US"/>
        </w:rPr>
        <w:t>labo</w:t>
      </w:r>
      <w:r w:rsidR="00CE3D2F"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Pr="00AA566D">
        <w:rPr>
          <w:rFonts w:asciiTheme="majorHAnsi" w:hAnsiTheme="majorHAnsi" w:cs="Times New Roman"/>
          <w:sz w:val="24"/>
          <w:szCs w:val="24"/>
          <w:lang w:val="en-US"/>
        </w:rPr>
        <w:t xml:space="preserve"> market relevance and </w:t>
      </w:r>
      <w:r w:rsidR="006F36A5" w:rsidRPr="00AA566D">
        <w:rPr>
          <w:rFonts w:asciiTheme="majorHAnsi" w:hAnsiTheme="majorHAnsi" w:cs="Times New Roman"/>
          <w:sz w:val="24"/>
          <w:szCs w:val="24"/>
          <w:lang w:val="en-US"/>
        </w:rPr>
        <w:t xml:space="preserve">outcomes of their education </w:t>
      </w:r>
      <w:r w:rsidRPr="00AA566D">
        <w:rPr>
          <w:rFonts w:asciiTheme="majorHAnsi" w:hAnsiTheme="majorHAnsi" w:cs="Times New Roman"/>
          <w:sz w:val="24"/>
          <w:szCs w:val="24"/>
          <w:lang w:val="en-US"/>
        </w:rPr>
        <w:t xml:space="preserve">systems through a better understanding of: </w:t>
      </w:r>
    </w:p>
    <w:p w14:paraId="7A1C72C6" w14:textId="140C9F70" w:rsidR="00BF59CE" w:rsidRPr="00AA566D" w:rsidRDefault="00BF59CE" w:rsidP="00CE3D2F">
      <w:pPr>
        <w:pStyle w:val="ListParagraph"/>
        <w:numPr>
          <w:ilvl w:val="0"/>
          <w:numId w:val="16"/>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the links between the knowledge and skills developed in </w:t>
      </w:r>
      <w:r w:rsidR="006F36A5" w:rsidRPr="00AA566D">
        <w:rPr>
          <w:rFonts w:asciiTheme="majorHAnsi" w:hAnsiTheme="majorHAnsi" w:cs="Times New Roman"/>
          <w:sz w:val="24"/>
          <w:szCs w:val="24"/>
          <w:lang w:val="en-US"/>
        </w:rPr>
        <w:t>education</w:t>
      </w:r>
      <w:r w:rsidR="00BB0006" w:rsidRPr="00AA566D">
        <w:rPr>
          <w:rFonts w:asciiTheme="majorHAnsi" w:hAnsiTheme="majorHAnsi" w:cs="Times New Roman"/>
          <w:sz w:val="24"/>
          <w:szCs w:val="24"/>
          <w:lang w:val="en-US"/>
        </w:rPr>
        <w:t xml:space="preserve"> </w:t>
      </w:r>
      <w:r w:rsidR="006F36A5" w:rsidRPr="00AA566D">
        <w:rPr>
          <w:rFonts w:asciiTheme="majorHAnsi" w:hAnsiTheme="majorHAnsi" w:cs="Times New Roman"/>
          <w:sz w:val="24"/>
          <w:szCs w:val="24"/>
          <w:lang w:val="en-US"/>
        </w:rPr>
        <w:t>system</w:t>
      </w:r>
      <w:r w:rsidR="00CE3D2F" w:rsidRPr="00AA566D">
        <w:rPr>
          <w:rFonts w:asciiTheme="majorHAnsi" w:hAnsiTheme="majorHAnsi" w:cs="Times New Roman"/>
          <w:sz w:val="24"/>
          <w:szCs w:val="24"/>
          <w:lang w:val="en-US"/>
        </w:rPr>
        <w:t>s</w:t>
      </w:r>
      <w:r w:rsidR="006F36A5" w:rsidRPr="00AA566D">
        <w:rPr>
          <w:rFonts w:asciiTheme="majorHAnsi" w:hAnsiTheme="majorHAnsi" w:cs="Times New Roman"/>
          <w:sz w:val="24"/>
          <w:szCs w:val="24"/>
          <w:lang w:val="en-US"/>
        </w:rPr>
        <w:t xml:space="preserve"> </w:t>
      </w:r>
      <w:r w:rsidRPr="00AA566D">
        <w:rPr>
          <w:rFonts w:asciiTheme="majorHAnsi" w:hAnsiTheme="majorHAnsi" w:cs="Times New Roman"/>
          <w:sz w:val="24"/>
          <w:szCs w:val="24"/>
          <w:lang w:val="en-US"/>
        </w:rPr>
        <w:t xml:space="preserve">and graduate outcomes; and </w:t>
      </w:r>
    </w:p>
    <w:p w14:paraId="5F323578" w14:textId="7413E190" w:rsidR="00D2587D" w:rsidRPr="00AA566D" w:rsidRDefault="00BF59CE" w:rsidP="00CE3D2F">
      <w:pPr>
        <w:pStyle w:val="ListParagraph"/>
        <w:numPr>
          <w:ilvl w:val="0"/>
          <w:numId w:val="16"/>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how policies and practices can stimulate and enhance the development of more knowledge and skills</w:t>
      </w:r>
      <w:r w:rsidR="00AA566D" w:rsidRPr="00AA566D">
        <w:rPr>
          <w:rFonts w:asciiTheme="majorHAnsi" w:hAnsiTheme="majorHAnsi" w:cs="Times New Roman"/>
          <w:sz w:val="24"/>
          <w:szCs w:val="24"/>
          <w:lang w:val="en-US"/>
        </w:rPr>
        <w:t xml:space="preserve"> relevant to the labour market</w:t>
      </w:r>
      <w:r w:rsidRPr="00AA566D">
        <w:rPr>
          <w:rFonts w:asciiTheme="majorHAnsi" w:hAnsiTheme="majorHAnsi" w:cs="Times New Roman"/>
          <w:sz w:val="24"/>
          <w:szCs w:val="24"/>
          <w:lang w:val="en-US"/>
        </w:rPr>
        <w:t>.</w:t>
      </w:r>
    </w:p>
    <w:p w14:paraId="306C117D" w14:textId="1CAACAC9" w:rsidR="00BF59CE" w:rsidRPr="00AA566D" w:rsidRDefault="00BF59CE"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 </w:t>
      </w:r>
    </w:p>
    <w:p w14:paraId="1F5C4239" w14:textId="25B56177" w:rsidR="00BF59CE" w:rsidRPr="00AA566D" w:rsidRDefault="00BF59CE"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The </w:t>
      </w:r>
      <w:r w:rsidRPr="00AA566D">
        <w:rPr>
          <w:rFonts w:asciiTheme="majorHAnsi" w:hAnsiTheme="majorHAnsi" w:cs="Times New Roman"/>
          <w:b/>
          <w:sz w:val="24"/>
          <w:szCs w:val="24"/>
          <w:lang w:val="en-US"/>
        </w:rPr>
        <w:t>main objectives</w:t>
      </w:r>
      <w:r w:rsidRPr="00AA566D">
        <w:rPr>
          <w:rFonts w:asciiTheme="majorHAnsi" w:hAnsiTheme="majorHAnsi" w:cs="Times New Roman"/>
          <w:sz w:val="24"/>
          <w:szCs w:val="24"/>
          <w:lang w:val="en-US"/>
        </w:rPr>
        <w:t xml:space="preserve"> of the in-depth analysis are to: </w:t>
      </w:r>
    </w:p>
    <w:p w14:paraId="31653796" w14:textId="4DC6F55A" w:rsidR="00BF59CE" w:rsidRPr="00AA566D" w:rsidRDefault="00AA566D" w:rsidP="00CE3D2F">
      <w:pPr>
        <w:pStyle w:val="ListParagraph"/>
        <w:numPr>
          <w:ilvl w:val="0"/>
          <w:numId w:val="16"/>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i</w:t>
      </w:r>
      <w:r w:rsidR="00BB0006" w:rsidRPr="00AA566D">
        <w:rPr>
          <w:rFonts w:asciiTheme="majorHAnsi" w:hAnsiTheme="majorHAnsi" w:cs="Times New Roman"/>
          <w:sz w:val="24"/>
          <w:szCs w:val="24"/>
          <w:lang w:val="en-US"/>
        </w:rPr>
        <w:t>dentify</w:t>
      </w:r>
      <w:r w:rsidR="00BF59CE" w:rsidRPr="00AA566D">
        <w:rPr>
          <w:rFonts w:asciiTheme="majorHAnsi" w:hAnsiTheme="majorHAnsi" w:cs="Times New Roman"/>
          <w:sz w:val="24"/>
          <w:szCs w:val="24"/>
          <w:lang w:val="en-US"/>
        </w:rPr>
        <w:t xml:space="preserve"> the knowledge and skills needed for success in the </w:t>
      </w:r>
      <w:r w:rsidR="00BB0006" w:rsidRPr="00AA566D">
        <w:rPr>
          <w:rFonts w:asciiTheme="majorHAnsi" w:hAnsiTheme="majorHAnsi" w:cs="Times New Roman"/>
          <w:sz w:val="24"/>
          <w:szCs w:val="24"/>
          <w:lang w:val="en-US"/>
        </w:rPr>
        <w:t>labo</w:t>
      </w:r>
      <w:r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00BF59CE" w:rsidRPr="00AA566D">
        <w:rPr>
          <w:rFonts w:asciiTheme="majorHAnsi" w:hAnsiTheme="majorHAnsi" w:cs="Times New Roman"/>
          <w:sz w:val="24"/>
          <w:szCs w:val="24"/>
          <w:lang w:val="en-US"/>
        </w:rPr>
        <w:t xml:space="preserve"> markets of countries, taking into account other factors that are beyond</w:t>
      </w:r>
      <w:r w:rsidR="007347D3" w:rsidRPr="00AA566D">
        <w:rPr>
          <w:rFonts w:asciiTheme="majorHAnsi" w:hAnsiTheme="majorHAnsi" w:cs="Times New Roman"/>
          <w:sz w:val="24"/>
          <w:szCs w:val="24"/>
          <w:lang w:val="en-US"/>
        </w:rPr>
        <w:t xml:space="preserve"> the realm of the education </w:t>
      </w:r>
      <w:r w:rsidR="00BF59CE" w:rsidRPr="00AA566D">
        <w:rPr>
          <w:rFonts w:asciiTheme="majorHAnsi" w:hAnsiTheme="majorHAnsi" w:cs="Times New Roman"/>
          <w:sz w:val="24"/>
          <w:szCs w:val="24"/>
          <w:lang w:val="en-US"/>
        </w:rPr>
        <w:t>sector</w:t>
      </w:r>
      <w:r w:rsidR="006F36A5" w:rsidRPr="00AA566D">
        <w:rPr>
          <w:rFonts w:asciiTheme="majorHAnsi" w:hAnsiTheme="majorHAnsi" w:cs="Times New Roman"/>
          <w:sz w:val="24"/>
          <w:szCs w:val="24"/>
          <w:lang w:val="en-US"/>
        </w:rPr>
        <w:t>;</w:t>
      </w:r>
    </w:p>
    <w:p w14:paraId="131235C9" w14:textId="79D8E77C" w:rsidR="00BF59CE" w:rsidRPr="00AA566D" w:rsidRDefault="00AA566D" w:rsidP="00CE3D2F">
      <w:pPr>
        <w:pStyle w:val="ListParagraph"/>
        <w:numPr>
          <w:ilvl w:val="0"/>
          <w:numId w:val="16"/>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a</w:t>
      </w:r>
      <w:r w:rsidR="00BB0006" w:rsidRPr="00AA566D">
        <w:rPr>
          <w:rFonts w:asciiTheme="majorHAnsi" w:hAnsiTheme="majorHAnsi" w:cs="Times New Roman"/>
          <w:sz w:val="24"/>
          <w:szCs w:val="24"/>
          <w:lang w:val="en-US"/>
        </w:rPr>
        <w:t>ssess</w:t>
      </w:r>
      <w:r w:rsidR="007347D3" w:rsidRPr="00AA566D">
        <w:rPr>
          <w:rFonts w:asciiTheme="majorHAnsi" w:hAnsiTheme="majorHAnsi" w:cs="Times New Roman"/>
          <w:sz w:val="24"/>
          <w:szCs w:val="24"/>
          <w:lang w:val="en-US"/>
        </w:rPr>
        <w:t xml:space="preserve"> how well education</w:t>
      </w:r>
      <w:r w:rsidR="006F36A5" w:rsidRPr="00AA566D">
        <w:rPr>
          <w:rFonts w:asciiTheme="majorHAnsi" w:hAnsiTheme="majorHAnsi" w:cs="Times New Roman"/>
          <w:sz w:val="24"/>
          <w:szCs w:val="24"/>
          <w:lang w:val="en-US"/>
        </w:rPr>
        <w:t xml:space="preserve"> sector</w:t>
      </w:r>
      <w:r w:rsidRPr="00AA566D">
        <w:rPr>
          <w:rFonts w:asciiTheme="majorHAnsi" w:hAnsiTheme="majorHAnsi" w:cs="Times New Roman"/>
          <w:sz w:val="24"/>
          <w:szCs w:val="24"/>
          <w:lang w:val="en-US"/>
        </w:rPr>
        <w:t>s</w:t>
      </w:r>
      <w:r w:rsidR="00BF59CE" w:rsidRPr="00AA566D">
        <w:rPr>
          <w:rFonts w:asciiTheme="majorHAnsi" w:hAnsiTheme="majorHAnsi" w:cs="Times New Roman"/>
          <w:sz w:val="24"/>
          <w:szCs w:val="24"/>
          <w:lang w:val="en-US"/>
        </w:rPr>
        <w:t xml:space="preserve"> are developing these </w:t>
      </w:r>
      <w:r w:rsidR="00BB0006" w:rsidRPr="00AA566D">
        <w:rPr>
          <w:rFonts w:asciiTheme="majorHAnsi" w:hAnsiTheme="majorHAnsi" w:cs="Times New Roman"/>
          <w:sz w:val="24"/>
          <w:szCs w:val="24"/>
          <w:lang w:val="en-US"/>
        </w:rPr>
        <w:t>labo</w:t>
      </w:r>
      <w:r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00BF59CE" w:rsidRPr="00AA566D">
        <w:rPr>
          <w:rFonts w:asciiTheme="majorHAnsi" w:hAnsiTheme="majorHAnsi" w:cs="Times New Roman"/>
          <w:sz w:val="24"/>
          <w:szCs w:val="24"/>
          <w:lang w:val="en-US"/>
        </w:rPr>
        <w:t xml:space="preserve"> market re</w:t>
      </w:r>
      <w:r w:rsidR="006F36A5" w:rsidRPr="00AA566D">
        <w:rPr>
          <w:rFonts w:asciiTheme="majorHAnsi" w:hAnsiTheme="majorHAnsi" w:cs="Times New Roman"/>
          <w:sz w:val="24"/>
          <w:szCs w:val="24"/>
          <w:lang w:val="en-US"/>
        </w:rPr>
        <w:t>levant skills;</w:t>
      </w:r>
    </w:p>
    <w:p w14:paraId="3CA60DA7" w14:textId="742F224B" w:rsidR="00BF59CE" w:rsidRPr="00AA566D" w:rsidRDefault="00AA566D" w:rsidP="00CE3D2F">
      <w:pPr>
        <w:pStyle w:val="ListParagraph"/>
        <w:numPr>
          <w:ilvl w:val="0"/>
          <w:numId w:val="16"/>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i</w:t>
      </w:r>
      <w:r w:rsidR="00BB0006" w:rsidRPr="00AA566D">
        <w:rPr>
          <w:rFonts w:asciiTheme="majorHAnsi" w:hAnsiTheme="majorHAnsi" w:cs="Times New Roman"/>
          <w:sz w:val="24"/>
          <w:szCs w:val="24"/>
          <w:lang w:val="en-US"/>
        </w:rPr>
        <w:t>dentify</w:t>
      </w:r>
      <w:r w:rsidR="007347D3" w:rsidRPr="00AA566D">
        <w:rPr>
          <w:rFonts w:asciiTheme="majorHAnsi" w:hAnsiTheme="majorHAnsi" w:cs="Times New Roman"/>
          <w:sz w:val="24"/>
          <w:szCs w:val="24"/>
          <w:lang w:val="en-US"/>
        </w:rPr>
        <w:t xml:space="preserve"> approaches in education</w:t>
      </w:r>
      <w:r w:rsidR="006F36A5" w:rsidRPr="00AA566D">
        <w:rPr>
          <w:rFonts w:asciiTheme="majorHAnsi" w:hAnsiTheme="majorHAnsi" w:cs="Times New Roman"/>
          <w:sz w:val="24"/>
          <w:szCs w:val="24"/>
          <w:lang w:val="en-US"/>
        </w:rPr>
        <w:t xml:space="preserve"> sector</w:t>
      </w:r>
      <w:r w:rsidRPr="00AA566D">
        <w:rPr>
          <w:rFonts w:asciiTheme="majorHAnsi" w:hAnsiTheme="majorHAnsi" w:cs="Times New Roman"/>
          <w:sz w:val="24"/>
          <w:szCs w:val="24"/>
          <w:lang w:val="en-US"/>
        </w:rPr>
        <w:t>s</w:t>
      </w:r>
      <w:r w:rsidR="00BF59CE" w:rsidRPr="00AA566D">
        <w:rPr>
          <w:rFonts w:asciiTheme="majorHAnsi" w:hAnsiTheme="majorHAnsi" w:cs="Times New Roman"/>
          <w:sz w:val="24"/>
          <w:szCs w:val="24"/>
          <w:lang w:val="en-US"/>
        </w:rPr>
        <w:t xml:space="preserve"> that facilitate the development of </w:t>
      </w:r>
      <w:r w:rsidR="00BB0006" w:rsidRPr="00AA566D">
        <w:rPr>
          <w:rFonts w:asciiTheme="majorHAnsi" w:hAnsiTheme="majorHAnsi" w:cs="Times New Roman"/>
          <w:sz w:val="24"/>
          <w:szCs w:val="24"/>
          <w:lang w:val="en-US"/>
        </w:rPr>
        <w:t>labo</w:t>
      </w:r>
      <w:r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00BF59CE" w:rsidRPr="00AA566D">
        <w:rPr>
          <w:rFonts w:asciiTheme="majorHAnsi" w:hAnsiTheme="majorHAnsi" w:cs="Times New Roman"/>
          <w:sz w:val="24"/>
          <w:szCs w:val="24"/>
          <w:lang w:val="en-US"/>
        </w:rPr>
        <w:t xml:space="preserve"> market relevant skills</w:t>
      </w:r>
      <w:r w:rsidR="00CE3D2F" w:rsidRPr="00AA566D">
        <w:rPr>
          <w:rFonts w:asciiTheme="majorHAnsi" w:hAnsiTheme="majorHAnsi" w:cs="Times New Roman"/>
          <w:sz w:val="24"/>
          <w:szCs w:val="24"/>
          <w:lang w:val="en-US"/>
        </w:rPr>
        <w:t>;</w:t>
      </w:r>
      <w:r w:rsidR="00BF59CE" w:rsidRPr="00AA566D">
        <w:rPr>
          <w:rFonts w:asciiTheme="majorHAnsi" w:hAnsiTheme="majorHAnsi" w:cs="Times New Roman"/>
          <w:sz w:val="24"/>
          <w:szCs w:val="24"/>
          <w:lang w:val="en-US"/>
        </w:rPr>
        <w:t xml:space="preserve"> </w:t>
      </w:r>
    </w:p>
    <w:p w14:paraId="49668AE5" w14:textId="62710ABA" w:rsidR="00BF59CE" w:rsidRPr="00AA566D" w:rsidRDefault="00AA566D" w:rsidP="00CE3D2F">
      <w:pPr>
        <w:pStyle w:val="ListParagraph"/>
        <w:numPr>
          <w:ilvl w:val="0"/>
          <w:numId w:val="16"/>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e</w:t>
      </w:r>
      <w:r w:rsidR="00BB0006" w:rsidRPr="00AA566D">
        <w:rPr>
          <w:rFonts w:asciiTheme="majorHAnsi" w:hAnsiTheme="majorHAnsi" w:cs="Times New Roman"/>
          <w:sz w:val="24"/>
          <w:szCs w:val="24"/>
          <w:lang w:val="en-US"/>
        </w:rPr>
        <w:t>xplore</w:t>
      </w:r>
      <w:r w:rsidR="00BF59CE" w:rsidRPr="00AA566D">
        <w:rPr>
          <w:rFonts w:asciiTheme="majorHAnsi" w:hAnsiTheme="majorHAnsi" w:cs="Times New Roman"/>
          <w:sz w:val="24"/>
          <w:szCs w:val="24"/>
          <w:lang w:val="en-US"/>
        </w:rPr>
        <w:t xml:space="preserve"> the potential of policy </w:t>
      </w:r>
      <w:r w:rsidRPr="00AA566D">
        <w:rPr>
          <w:rFonts w:asciiTheme="majorHAnsi" w:hAnsiTheme="majorHAnsi" w:cs="Times New Roman"/>
          <w:sz w:val="24"/>
          <w:szCs w:val="24"/>
          <w:lang w:val="en-US"/>
        </w:rPr>
        <w:t>levers that policymakers can utilize</w:t>
      </w:r>
      <w:r w:rsidR="00BF59CE" w:rsidRPr="00AA566D">
        <w:rPr>
          <w:rFonts w:asciiTheme="majorHAnsi" w:hAnsiTheme="majorHAnsi" w:cs="Times New Roman"/>
          <w:sz w:val="24"/>
          <w:szCs w:val="24"/>
          <w:lang w:val="en-US"/>
        </w:rPr>
        <w:t xml:space="preserve"> (individually or in combination) to influence the development of </w:t>
      </w:r>
      <w:r w:rsidR="00BB0006" w:rsidRPr="00AA566D">
        <w:rPr>
          <w:rFonts w:asciiTheme="majorHAnsi" w:hAnsiTheme="majorHAnsi" w:cs="Times New Roman"/>
          <w:sz w:val="24"/>
          <w:szCs w:val="24"/>
          <w:lang w:val="en-US"/>
        </w:rPr>
        <w:t>labo</w:t>
      </w:r>
      <w:r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007347D3" w:rsidRPr="00AA566D">
        <w:rPr>
          <w:rFonts w:asciiTheme="majorHAnsi" w:hAnsiTheme="majorHAnsi" w:cs="Times New Roman"/>
          <w:sz w:val="24"/>
          <w:szCs w:val="24"/>
          <w:lang w:val="en-US"/>
        </w:rPr>
        <w:t xml:space="preserve"> market relevant skills in </w:t>
      </w:r>
      <w:r w:rsidR="00BF59CE" w:rsidRPr="00AA566D">
        <w:rPr>
          <w:rFonts w:asciiTheme="majorHAnsi" w:hAnsiTheme="majorHAnsi" w:cs="Times New Roman"/>
          <w:sz w:val="24"/>
          <w:szCs w:val="24"/>
          <w:lang w:val="en-US"/>
        </w:rPr>
        <w:t xml:space="preserve">education and good </w:t>
      </w:r>
      <w:r w:rsidR="00BB0006" w:rsidRPr="00AA566D">
        <w:rPr>
          <w:rFonts w:asciiTheme="majorHAnsi" w:hAnsiTheme="majorHAnsi" w:cs="Times New Roman"/>
          <w:sz w:val="24"/>
          <w:szCs w:val="24"/>
          <w:lang w:val="en-US"/>
        </w:rPr>
        <w:t>labo</w:t>
      </w:r>
      <w:r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00BF59CE" w:rsidRPr="00AA566D">
        <w:rPr>
          <w:rFonts w:asciiTheme="majorHAnsi" w:hAnsiTheme="majorHAnsi" w:cs="Times New Roman"/>
          <w:sz w:val="24"/>
          <w:szCs w:val="24"/>
          <w:lang w:val="en-US"/>
        </w:rPr>
        <w:t xml:space="preserve"> market outcomes for graduates</w:t>
      </w:r>
      <w:r w:rsidR="00CE3D2F" w:rsidRPr="00AA566D">
        <w:rPr>
          <w:rFonts w:asciiTheme="majorHAnsi" w:hAnsiTheme="majorHAnsi" w:cs="Times New Roman"/>
          <w:sz w:val="24"/>
          <w:szCs w:val="24"/>
          <w:lang w:val="en-US"/>
        </w:rPr>
        <w:t>; and</w:t>
      </w:r>
    </w:p>
    <w:p w14:paraId="7DEB5B1D" w14:textId="727A40D6" w:rsidR="00BF59CE" w:rsidRPr="00AA566D" w:rsidRDefault="00AA566D" w:rsidP="00CE3D2F">
      <w:pPr>
        <w:pStyle w:val="ListParagraph"/>
        <w:numPr>
          <w:ilvl w:val="0"/>
          <w:numId w:val="16"/>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i</w:t>
      </w:r>
      <w:r w:rsidR="00BB0006" w:rsidRPr="00AA566D">
        <w:rPr>
          <w:rFonts w:asciiTheme="majorHAnsi" w:hAnsiTheme="majorHAnsi" w:cs="Times New Roman"/>
          <w:sz w:val="24"/>
          <w:szCs w:val="24"/>
          <w:lang w:val="en-US"/>
        </w:rPr>
        <w:t>dentify</w:t>
      </w:r>
      <w:r w:rsidR="00BF59CE" w:rsidRPr="00AA566D">
        <w:rPr>
          <w:rFonts w:asciiTheme="majorHAnsi" w:hAnsiTheme="majorHAnsi" w:cs="Times New Roman"/>
          <w:sz w:val="24"/>
          <w:szCs w:val="24"/>
          <w:lang w:val="en-US"/>
        </w:rPr>
        <w:t xml:space="preserve"> concrete policy options that could help improve the </w:t>
      </w:r>
      <w:r w:rsidR="00BB0006" w:rsidRPr="00AA566D">
        <w:rPr>
          <w:rFonts w:asciiTheme="majorHAnsi" w:hAnsiTheme="majorHAnsi" w:cs="Times New Roman"/>
          <w:sz w:val="24"/>
          <w:szCs w:val="24"/>
          <w:lang w:val="en-US"/>
        </w:rPr>
        <w:t>labo</w:t>
      </w:r>
      <w:r w:rsidR="00CE3D2F" w:rsidRPr="00AA566D">
        <w:rPr>
          <w:rFonts w:asciiTheme="majorHAnsi" w:hAnsiTheme="majorHAnsi" w:cs="Times New Roman"/>
          <w:sz w:val="24"/>
          <w:szCs w:val="24"/>
          <w:lang w:val="en-US"/>
        </w:rPr>
        <w:t>u</w:t>
      </w:r>
      <w:r w:rsidR="00BB0006" w:rsidRPr="00AA566D">
        <w:rPr>
          <w:rFonts w:asciiTheme="majorHAnsi" w:hAnsiTheme="majorHAnsi" w:cs="Times New Roman"/>
          <w:sz w:val="24"/>
          <w:szCs w:val="24"/>
          <w:lang w:val="en-US"/>
        </w:rPr>
        <w:t>r</w:t>
      </w:r>
      <w:r w:rsidR="00BF59CE" w:rsidRPr="00AA566D">
        <w:rPr>
          <w:rFonts w:asciiTheme="majorHAnsi" w:hAnsiTheme="majorHAnsi" w:cs="Times New Roman"/>
          <w:sz w:val="24"/>
          <w:szCs w:val="24"/>
          <w:lang w:val="en-US"/>
        </w:rPr>
        <w:t xml:space="preserve"> market outcomes </w:t>
      </w:r>
      <w:r w:rsidR="007347D3" w:rsidRPr="00AA566D">
        <w:rPr>
          <w:rFonts w:asciiTheme="majorHAnsi" w:hAnsiTheme="majorHAnsi" w:cs="Times New Roman"/>
          <w:sz w:val="24"/>
          <w:szCs w:val="24"/>
          <w:lang w:val="en-US"/>
        </w:rPr>
        <w:t>of education</w:t>
      </w:r>
      <w:r w:rsidR="00BF59CE" w:rsidRPr="00AA566D">
        <w:rPr>
          <w:rFonts w:asciiTheme="majorHAnsi" w:hAnsiTheme="majorHAnsi" w:cs="Times New Roman"/>
          <w:sz w:val="24"/>
          <w:szCs w:val="24"/>
          <w:lang w:val="en-US"/>
        </w:rPr>
        <w:t xml:space="preserve"> </w:t>
      </w:r>
      <w:r w:rsidR="007347D3" w:rsidRPr="00AA566D">
        <w:rPr>
          <w:rFonts w:asciiTheme="majorHAnsi" w:hAnsiTheme="majorHAnsi" w:cs="Times New Roman"/>
          <w:sz w:val="24"/>
          <w:szCs w:val="24"/>
          <w:lang w:val="en-US"/>
        </w:rPr>
        <w:t xml:space="preserve">system </w:t>
      </w:r>
      <w:r w:rsidR="00BF59CE" w:rsidRPr="00AA566D">
        <w:rPr>
          <w:rFonts w:asciiTheme="majorHAnsi" w:hAnsiTheme="majorHAnsi" w:cs="Times New Roman"/>
          <w:sz w:val="24"/>
          <w:szCs w:val="24"/>
          <w:lang w:val="en-US"/>
        </w:rPr>
        <w:t>graduates.</w:t>
      </w:r>
    </w:p>
    <w:p w14:paraId="49136544" w14:textId="2C9020E0" w:rsidR="00153795" w:rsidRDefault="00153795" w:rsidP="00D2587D">
      <w:pPr>
        <w:spacing w:after="0" w:line="240" w:lineRule="auto"/>
        <w:jc w:val="both"/>
        <w:rPr>
          <w:rFonts w:asciiTheme="majorHAnsi" w:hAnsiTheme="majorHAnsi" w:cs="Times New Roman"/>
          <w:sz w:val="24"/>
          <w:szCs w:val="24"/>
          <w:lang w:val="en-US"/>
        </w:rPr>
      </w:pPr>
    </w:p>
    <w:p w14:paraId="304A0320" w14:textId="77777777" w:rsidR="001B0035" w:rsidRPr="00AA566D" w:rsidRDefault="001B0035" w:rsidP="00D2587D">
      <w:pPr>
        <w:spacing w:after="0" w:line="240" w:lineRule="auto"/>
        <w:jc w:val="both"/>
        <w:rPr>
          <w:rFonts w:asciiTheme="majorHAnsi" w:hAnsiTheme="majorHAnsi" w:cs="Times New Roman"/>
          <w:sz w:val="24"/>
          <w:szCs w:val="24"/>
          <w:lang w:val="en-US"/>
        </w:rPr>
      </w:pPr>
    </w:p>
    <w:p w14:paraId="0820B3C1" w14:textId="77777777" w:rsidR="0026518F" w:rsidRPr="00AA566D" w:rsidRDefault="00153795" w:rsidP="002C0BC3">
      <w:pPr>
        <w:numPr>
          <w:ilvl w:val="0"/>
          <w:numId w:val="2"/>
        </w:numPr>
        <w:tabs>
          <w:tab w:val="left" w:pos="709"/>
        </w:tabs>
        <w:spacing w:after="0" w:line="240" w:lineRule="auto"/>
        <w:ind w:left="709" w:hanging="567"/>
        <w:jc w:val="both"/>
        <w:rPr>
          <w:rFonts w:asciiTheme="majorHAnsi" w:hAnsiTheme="majorHAnsi" w:cs="Times New Roman"/>
          <w:b/>
          <w:color w:val="2E74B5" w:themeColor="accent1" w:themeShade="BF"/>
          <w:sz w:val="24"/>
          <w:szCs w:val="24"/>
          <w:u w:val="single"/>
          <w:lang w:val="en-US"/>
        </w:rPr>
      </w:pPr>
      <w:r w:rsidRPr="00AA566D">
        <w:rPr>
          <w:rFonts w:asciiTheme="majorHAnsi" w:hAnsiTheme="majorHAnsi" w:cs="Times New Roman"/>
          <w:b/>
          <w:color w:val="2E74B5" w:themeColor="accent1" w:themeShade="BF"/>
          <w:sz w:val="24"/>
          <w:szCs w:val="24"/>
          <w:u w:val="single"/>
          <w:lang w:val="en-US"/>
        </w:rPr>
        <w:t xml:space="preserve">Methodology </w:t>
      </w:r>
    </w:p>
    <w:p w14:paraId="699CA29E" w14:textId="77777777" w:rsidR="00643CB3" w:rsidRPr="00AA566D" w:rsidRDefault="00643CB3" w:rsidP="00D2587D">
      <w:pPr>
        <w:spacing w:after="0" w:line="240" w:lineRule="auto"/>
        <w:jc w:val="both"/>
        <w:rPr>
          <w:rFonts w:asciiTheme="majorHAnsi" w:hAnsiTheme="majorHAnsi" w:cs="Times New Roman"/>
          <w:b/>
          <w:color w:val="2E74B5" w:themeColor="accent1" w:themeShade="BF"/>
          <w:sz w:val="24"/>
          <w:szCs w:val="24"/>
          <w:u w:val="single"/>
          <w:lang w:val="en-US"/>
        </w:rPr>
      </w:pPr>
    </w:p>
    <w:p w14:paraId="76B23E20" w14:textId="77777777" w:rsidR="00CE3D2F" w:rsidRPr="00AA566D" w:rsidRDefault="00643CB3" w:rsidP="00CE3D2F">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The methodology of the implementation of the stud</w:t>
      </w:r>
      <w:r w:rsidR="009A2847" w:rsidRPr="00AA566D">
        <w:rPr>
          <w:rFonts w:asciiTheme="majorHAnsi" w:hAnsiTheme="majorHAnsi" w:cs="Times New Roman"/>
          <w:sz w:val="24"/>
          <w:szCs w:val="24"/>
          <w:lang w:val="en-US"/>
        </w:rPr>
        <w:t>y will be structured around five</w:t>
      </w:r>
      <w:r w:rsidRPr="00AA566D">
        <w:rPr>
          <w:rFonts w:asciiTheme="majorHAnsi" w:hAnsiTheme="majorHAnsi" w:cs="Times New Roman"/>
          <w:sz w:val="24"/>
          <w:szCs w:val="24"/>
          <w:lang w:val="en-US"/>
        </w:rPr>
        <w:t xml:space="preserve"> main steps: </w:t>
      </w:r>
    </w:p>
    <w:p w14:paraId="1FCD8C80" w14:textId="186B07B8" w:rsidR="00CE3D2F" w:rsidRPr="00AA566D" w:rsidRDefault="002C0BC3" w:rsidP="00CE3D2F">
      <w:pPr>
        <w:pStyle w:val="ListParagraph"/>
        <w:numPr>
          <w:ilvl w:val="0"/>
          <w:numId w:val="22"/>
        </w:num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a </w:t>
      </w:r>
      <w:r w:rsidR="00AA566D" w:rsidRPr="00AA566D">
        <w:rPr>
          <w:rFonts w:asciiTheme="majorHAnsi" w:hAnsiTheme="majorHAnsi" w:cs="Times New Roman"/>
          <w:sz w:val="24"/>
          <w:szCs w:val="24"/>
          <w:lang w:val="en-US"/>
        </w:rPr>
        <w:t>p</w:t>
      </w:r>
      <w:r w:rsidR="00643CB3" w:rsidRPr="00AA566D">
        <w:rPr>
          <w:rFonts w:asciiTheme="majorHAnsi" w:hAnsiTheme="majorHAnsi" w:cs="Times New Roman"/>
          <w:sz w:val="24"/>
          <w:szCs w:val="24"/>
          <w:lang w:val="en-US"/>
        </w:rPr>
        <w:t xml:space="preserve">reliminary phase; </w:t>
      </w:r>
    </w:p>
    <w:p w14:paraId="5A385954" w14:textId="3088E7E2" w:rsidR="00CE3D2F" w:rsidRPr="00AA566D" w:rsidRDefault="00AA566D" w:rsidP="00CE3D2F">
      <w:pPr>
        <w:pStyle w:val="ListParagraph"/>
        <w:numPr>
          <w:ilvl w:val="0"/>
          <w:numId w:val="22"/>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o</w:t>
      </w:r>
      <w:r w:rsidR="00643CB3" w:rsidRPr="00AA566D">
        <w:rPr>
          <w:rFonts w:asciiTheme="majorHAnsi" w:hAnsiTheme="majorHAnsi" w:cs="Times New Roman"/>
          <w:sz w:val="24"/>
          <w:szCs w:val="24"/>
          <w:lang w:val="en-US"/>
        </w:rPr>
        <w:t>rganization of a te</w:t>
      </w:r>
      <w:r w:rsidR="000161B7" w:rsidRPr="00AA566D">
        <w:rPr>
          <w:rFonts w:asciiTheme="majorHAnsi" w:hAnsiTheme="majorHAnsi" w:cs="Times New Roman"/>
          <w:sz w:val="24"/>
          <w:szCs w:val="24"/>
          <w:lang w:val="en-US"/>
        </w:rPr>
        <w:t>chnical regional workshop on</w:t>
      </w:r>
      <w:r w:rsidR="00643CB3" w:rsidRPr="00AA566D">
        <w:rPr>
          <w:rFonts w:asciiTheme="majorHAnsi" w:hAnsiTheme="majorHAnsi" w:cs="Times New Roman"/>
          <w:sz w:val="24"/>
          <w:szCs w:val="24"/>
          <w:lang w:val="en-US"/>
        </w:rPr>
        <w:t xml:space="preserve"> methodolog</w:t>
      </w:r>
      <w:r w:rsidR="000161B7" w:rsidRPr="00AA566D">
        <w:rPr>
          <w:rFonts w:asciiTheme="majorHAnsi" w:hAnsiTheme="majorHAnsi" w:cs="Times New Roman"/>
          <w:sz w:val="24"/>
          <w:szCs w:val="24"/>
          <w:lang w:val="en-US"/>
        </w:rPr>
        <w:t>ies</w:t>
      </w:r>
      <w:r w:rsidR="00643CB3" w:rsidRPr="00AA566D">
        <w:rPr>
          <w:rFonts w:asciiTheme="majorHAnsi" w:hAnsiTheme="majorHAnsi" w:cs="Times New Roman"/>
          <w:sz w:val="24"/>
          <w:szCs w:val="24"/>
          <w:lang w:val="en-US"/>
        </w:rPr>
        <w:t xml:space="preserve"> for the analysis of the relevance of education and training; </w:t>
      </w:r>
    </w:p>
    <w:p w14:paraId="719EE0E5" w14:textId="7ADC3D2B" w:rsidR="00CE3D2F" w:rsidRPr="00AA566D" w:rsidRDefault="00AA566D" w:rsidP="00CE3D2F">
      <w:pPr>
        <w:pStyle w:val="ListParagraph"/>
        <w:numPr>
          <w:ilvl w:val="0"/>
          <w:numId w:val="22"/>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e</w:t>
      </w:r>
      <w:r w:rsidR="00643CB3" w:rsidRPr="00AA566D">
        <w:rPr>
          <w:rFonts w:asciiTheme="majorHAnsi" w:hAnsiTheme="majorHAnsi" w:cs="Times New Roman"/>
          <w:sz w:val="24"/>
          <w:szCs w:val="24"/>
          <w:lang w:val="en-US"/>
        </w:rPr>
        <w:t xml:space="preserve">laboration of a series of national studies on the relevance of education and training; </w:t>
      </w:r>
    </w:p>
    <w:p w14:paraId="6224D28C" w14:textId="1F67095D" w:rsidR="00CE3D2F" w:rsidRPr="00AA566D" w:rsidRDefault="00AA566D" w:rsidP="00CE3D2F">
      <w:pPr>
        <w:pStyle w:val="ListParagraph"/>
        <w:numPr>
          <w:ilvl w:val="0"/>
          <w:numId w:val="22"/>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o</w:t>
      </w:r>
      <w:r w:rsidR="00643CB3" w:rsidRPr="00AA566D">
        <w:rPr>
          <w:rFonts w:asciiTheme="majorHAnsi" w:hAnsiTheme="majorHAnsi" w:cs="Times New Roman"/>
          <w:sz w:val="24"/>
          <w:szCs w:val="24"/>
          <w:lang w:val="en-US"/>
        </w:rPr>
        <w:t xml:space="preserve">rganization of a regional workshop for the sharing of the results of national </w:t>
      </w:r>
      <w:r w:rsidR="000161B7" w:rsidRPr="00AA566D">
        <w:rPr>
          <w:rFonts w:asciiTheme="majorHAnsi" w:hAnsiTheme="majorHAnsi" w:cs="Times New Roman"/>
          <w:sz w:val="24"/>
          <w:szCs w:val="24"/>
          <w:lang w:val="en-US"/>
        </w:rPr>
        <w:t xml:space="preserve">and regional </w:t>
      </w:r>
      <w:r w:rsidR="00643CB3" w:rsidRPr="00AA566D">
        <w:rPr>
          <w:rFonts w:asciiTheme="majorHAnsi" w:hAnsiTheme="majorHAnsi" w:cs="Times New Roman"/>
          <w:sz w:val="24"/>
          <w:szCs w:val="24"/>
          <w:lang w:val="en-US"/>
        </w:rPr>
        <w:t>studies</w:t>
      </w:r>
      <w:r w:rsidR="002C0BC3">
        <w:rPr>
          <w:rFonts w:asciiTheme="majorHAnsi" w:hAnsiTheme="majorHAnsi" w:cs="Times New Roman"/>
          <w:sz w:val="24"/>
          <w:szCs w:val="24"/>
          <w:lang w:val="en-US"/>
        </w:rPr>
        <w:t>;</w:t>
      </w:r>
      <w:r w:rsidR="009A2847" w:rsidRPr="00AA566D">
        <w:rPr>
          <w:rFonts w:asciiTheme="majorHAnsi" w:hAnsiTheme="majorHAnsi" w:cs="Times New Roman"/>
          <w:sz w:val="24"/>
          <w:szCs w:val="24"/>
          <w:lang w:val="en-US"/>
        </w:rPr>
        <w:t xml:space="preserve"> </w:t>
      </w:r>
      <w:r w:rsidR="00643CB3" w:rsidRPr="00AA566D">
        <w:rPr>
          <w:rFonts w:asciiTheme="majorHAnsi" w:hAnsiTheme="majorHAnsi" w:cs="Times New Roman"/>
          <w:sz w:val="24"/>
          <w:szCs w:val="24"/>
          <w:lang w:val="en-US"/>
        </w:rPr>
        <w:t xml:space="preserve"> and</w:t>
      </w:r>
      <w:r w:rsidR="000161B7" w:rsidRPr="00AA566D">
        <w:rPr>
          <w:rFonts w:asciiTheme="majorHAnsi" w:hAnsiTheme="majorHAnsi" w:cs="Times New Roman"/>
          <w:sz w:val="24"/>
          <w:szCs w:val="24"/>
          <w:lang w:val="en-US"/>
        </w:rPr>
        <w:t xml:space="preserve"> </w:t>
      </w:r>
    </w:p>
    <w:p w14:paraId="1ABA43A2" w14:textId="0118BEB8" w:rsidR="00CE3D2F" w:rsidRPr="00AA566D" w:rsidRDefault="00AA566D" w:rsidP="00CE3D2F">
      <w:pPr>
        <w:pStyle w:val="ListParagraph"/>
        <w:numPr>
          <w:ilvl w:val="0"/>
          <w:numId w:val="22"/>
        </w:num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p</w:t>
      </w:r>
      <w:r w:rsidR="00643CB3" w:rsidRPr="00AA566D">
        <w:rPr>
          <w:rFonts w:asciiTheme="majorHAnsi" w:hAnsiTheme="majorHAnsi" w:cs="Times New Roman"/>
          <w:sz w:val="24"/>
          <w:szCs w:val="24"/>
          <w:lang w:val="en-US"/>
        </w:rPr>
        <w:t>ublication and dissemination of a regional report on the relevanc</w:t>
      </w:r>
      <w:r w:rsidR="00CE3D2F" w:rsidRPr="00AA566D">
        <w:rPr>
          <w:rFonts w:asciiTheme="majorHAnsi" w:hAnsiTheme="majorHAnsi" w:cs="Times New Roman"/>
          <w:sz w:val="24"/>
          <w:szCs w:val="24"/>
          <w:lang w:val="en-US"/>
        </w:rPr>
        <w:t>e of education and training in West and C</w:t>
      </w:r>
      <w:r w:rsidR="00643CB3" w:rsidRPr="00AA566D">
        <w:rPr>
          <w:rFonts w:asciiTheme="majorHAnsi" w:hAnsiTheme="majorHAnsi" w:cs="Times New Roman"/>
          <w:sz w:val="24"/>
          <w:szCs w:val="24"/>
          <w:lang w:val="en-US"/>
        </w:rPr>
        <w:t>entral Africa</w:t>
      </w:r>
      <w:r w:rsidR="000E31CE" w:rsidRPr="00AA566D">
        <w:rPr>
          <w:rFonts w:asciiTheme="majorHAnsi" w:hAnsiTheme="majorHAnsi" w:cs="Times New Roman"/>
          <w:sz w:val="24"/>
          <w:szCs w:val="24"/>
          <w:lang w:val="en-US"/>
        </w:rPr>
        <w:t>.</w:t>
      </w:r>
      <w:r w:rsidR="00F51B51" w:rsidRPr="00AA566D">
        <w:rPr>
          <w:rFonts w:asciiTheme="majorHAnsi" w:hAnsiTheme="majorHAnsi" w:cs="Times New Roman"/>
          <w:sz w:val="24"/>
          <w:szCs w:val="24"/>
          <w:lang w:val="en-US"/>
        </w:rPr>
        <w:t xml:space="preserve"> </w:t>
      </w:r>
    </w:p>
    <w:p w14:paraId="39176762" w14:textId="5B0ADBD0" w:rsidR="00643CB3" w:rsidRPr="00AA566D" w:rsidRDefault="00F51B51" w:rsidP="00CE3D2F">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Terms of references for each of these steps will be produced. Below</w:t>
      </w:r>
      <w:r w:rsidR="002C0BC3">
        <w:rPr>
          <w:rFonts w:asciiTheme="majorHAnsi" w:hAnsiTheme="majorHAnsi" w:cs="Times New Roman"/>
          <w:sz w:val="24"/>
          <w:szCs w:val="24"/>
          <w:lang w:val="en-US"/>
        </w:rPr>
        <w:t xml:space="preserve"> are</w:t>
      </w:r>
      <w:r w:rsidRPr="00AA566D">
        <w:rPr>
          <w:rFonts w:asciiTheme="majorHAnsi" w:hAnsiTheme="majorHAnsi" w:cs="Times New Roman"/>
          <w:sz w:val="24"/>
          <w:szCs w:val="24"/>
          <w:lang w:val="en-US"/>
        </w:rPr>
        <w:t xml:space="preserve"> some preliminary details on these steps.</w:t>
      </w:r>
    </w:p>
    <w:p w14:paraId="4F802759" w14:textId="6BA6DCFF" w:rsidR="00D2587D" w:rsidRDefault="00D2587D" w:rsidP="00D2587D">
      <w:pPr>
        <w:spacing w:after="0" w:line="240" w:lineRule="auto"/>
        <w:jc w:val="both"/>
        <w:rPr>
          <w:rFonts w:asciiTheme="majorHAnsi" w:hAnsiTheme="majorHAnsi" w:cs="Times New Roman"/>
          <w:color w:val="2E74B5" w:themeColor="accent1" w:themeShade="BF"/>
          <w:sz w:val="24"/>
          <w:szCs w:val="24"/>
          <w:lang w:val="en-US"/>
        </w:rPr>
      </w:pPr>
    </w:p>
    <w:p w14:paraId="7B791CB1" w14:textId="77777777" w:rsidR="001B0035" w:rsidRPr="00AA566D" w:rsidRDefault="001B0035" w:rsidP="00D2587D">
      <w:pPr>
        <w:spacing w:after="0" w:line="240" w:lineRule="auto"/>
        <w:jc w:val="both"/>
        <w:rPr>
          <w:rFonts w:asciiTheme="majorHAnsi" w:hAnsiTheme="majorHAnsi" w:cs="Times New Roman"/>
          <w:color w:val="2E74B5" w:themeColor="accent1" w:themeShade="BF"/>
          <w:sz w:val="24"/>
          <w:szCs w:val="24"/>
          <w:lang w:val="en-US"/>
        </w:rPr>
      </w:pPr>
    </w:p>
    <w:p w14:paraId="51E5E83A" w14:textId="182431F3" w:rsidR="00C7451F" w:rsidRPr="00AA566D" w:rsidRDefault="00C7451F" w:rsidP="00D2587D">
      <w:pPr>
        <w:pStyle w:val="ListParagraph"/>
        <w:numPr>
          <w:ilvl w:val="1"/>
          <w:numId w:val="13"/>
        </w:numPr>
        <w:spacing w:after="0" w:line="240" w:lineRule="auto"/>
        <w:jc w:val="both"/>
        <w:rPr>
          <w:rFonts w:asciiTheme="majorHAnsi" w:hAnsiTheme="majorHAnsi" w:cs="Times New Roman"/>
          <w:color w:val="2E74B5" w:themeColor="accent1" w:themeShade="BF"/>
          <w:sz w:val="24"/>
          <w:szCs w:val="24"/>
          <w:lang w:val="en-US"/>
        </w:rPr>
      </w:pPr>
      <w:r w:rsidRPr="00AA566D">
        <w:rPr>
          <w:rFonts w:asciiTheme="majorHAnsi" w:hAnsiTheme="majorHAnsi" w:cs="Times New Roman"/>
          <w:color w:val="2E74B5" w:themeColor="accent1" w:themeShade="BF"/>
          <w:sz w:val="24"/>
          <w:szCs w:val="24"/>
          <w:lang w:val="en-US"/>
        </w:rPr>
        <w:t>Preliminary phase</w:t>
      </w:r>
    </w:p>
    <w:p w14:paraId="3F9CFB50" w14:textId="77777777" w:rsidR="00D2587D" w:rsidRPr="00AA566D" w:rsidRDefault="00D2587D" w:rsidP="00D2587D">
      <w:pPr>
        <w:pStyle w:val="ListParagraph"/>
        <w:spacing w:after="0" w:line="240" w:lineRule="auto"/>
        <w:ind w:left="360"/>
        <w:jc w:val="both"/>
        <w:rPr>
          <w:rFonts w:asciiTheme="majorHAnsi" w:hAnsiTheme="majorHAnsi" w:cs="Times New Roman"/>
          <w:color w:val="2E74B5" w:themeColor="accent1" w:themeShade="BF"/>
          <w:sz w:val="24"/>
          <w:szCs w:val="24"/>
          <w:lang w:val="en-US"/>
        </w:rPr>
      </w:pPr>
    </w:p>
    <w:p w14:paraId="7D0F3EDE" w14:textId="76663890" w:rsidR="005E1C7A" w:rsidRPr="00AA566D" w:rsidRDefault="005432F7" w:rsidP="005E1C7A">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lastRenderedPageBreak/>
        <w:t>As a fir</w:t>
      </w:r>
      <w:r w:rsidR="000F03C9" w:rsidRPr="00AA566D">
        <w:rPr>
          <w:rFonts w:asciiTheme="majorHAnsi" w:hAnsiTheme="majorHAnsi" w:cs="Times New Roman"/>
          <w:sz w:val="24"/>
          <w:szCs w:val="24"/>
          <w:lang w:val="en-US"/>
        </w:rPr>
        <w:t xml:space="preserve">st step, </w:t>
      </w:r>
      <w:r w:rsidRPr="00AA566D">
        <w:rPr>
          <w:rFonts w:asciiTheme="majorHAnsi" w:hAnsiTheme="majorHAnsi" w:cs="Times New Roman"/>
          <w:sz w:val="24"/>
          <w:szCs w:val="24"/>
          <w:lang w:val="en-US"/>
        </w:rPr>
        <w:t xml:space="preserve">a </w:t>
      </w:r>
      <w:r w:rsidRPr="002C0BC3">
        <w:rPr>
          <w:rFonts w:asciiTheme="majorHAnsi" w:hAnsiTheme="majorHAnsi" w:cs="Times New Roman"/>
          <w:b/>
          <w:sz w:val="24"/>
          <w:szCs w:val="24"/>
          <w:lang w:val="en-US"/>
        </w:rPr>
        <w:t>regional task force</w:t>
      </w:r>
      <w:r w:rsidR="00CE3D2F" w:rsidRPr="00AA566D">
        <w:rPr>
          <w:rFonts w:asciiTheme="majorHAnsi" w:hAnsiTheme="majorHAnsi" w:cs="Times New Roman"/>
          <w:sz w:val="24"/>
          <w:szCs w:val="24"/>
          <w:lang w:val="en-US"/>
        </w:rPr>
        <w:t xml:space="preserve"> will be created,</w:t>
      </w:r>
      <w:r w:rsidRPr="00AA566D">
        <w:rPr>
          <w:rFonts w:asciiTheme="majorHAnsi" w:hAnsiTheme="majorHAnsi" w:cs="Times New Roman"/>
          <w:sz w:val="24"/>
          <w:szCs w:val="24"/>
          <w:lang w:val="en-US"/>
        </w:rPr>
        <w:t xml:space="preserve"> composed of </w:t>
      </w:r>
      <w:r w:rsidR="000161B7" w:rsidRPr="00AA566D">
        <w:rPr>
          <w:rFonts w:asciiTheme="majorHAnsi" w:hAnsiTheme="majorHAnsi" w:cs="Times New Roman"/>
          <w:sz w:val="24"/>
          <w:szCs w:val="24"/>
          <w:lang w:val="en-US"/>
        </w:rPr>
        <w:t xml:space="preserve">two to five </w:t>
      </w:r>
      <w:r w:rsidRPr="00AA566D">
        <w:rPr>
          <w:rFonts w:asciiTheme="majorHAnsi" w:hAnsiTheme="majorHAnsi" w:cs="Times New Roman"/>
          <w:sz w:val="24"/>
          <w:szCs w:val="24"/>
          <w:lang w:val="en-US"/>
        </w:rPr>
        <w:t xml:space="preserve">specialists </w:t>
      </w:r>
      <w:r w:rsidR="00B371E5" w:rsidRPr="00AA566D">
        <w:rPr>
          <w:rFonts w:asciiTheme="majorHAnsi" w:hAnsiTheme="majorHAnsi" w:cs="Times New Roman"/>
          <w:sz w:val="24"/>
          <w:szCs w:val="24"/>
          <w:lang w:val="en-US"/>
        </w:rPr>
        <w:t xml:space="preserve">from </w:t>
      </w:r>
      <w:r w:rsidR="000161B7" w:rsidRPr="00AA566D">
        <w:rPr>
          <w:rFonts w:asciiTheme="majorHAnsi" w:hAnsiTheme="majorHAnsi" w:cs="Times New Roman"/>
          <w:sz w:val="24"/>
          <w:szCs w:val="24"/>
          <w:lang w:val="en-US"/>
        </w:rPr>
        <w:t xml:space="preserve">the </w:t>
      </w:r>
      <w:hyperlink r:id="rId9" w:history="1">
        <w:r w:rsidR="00B371E5" w:rsidRPr="00AA566D">
          <w:rPr>
            <w:rFonts w:asciiTheme="majorHAnsi" w:hAnsiTheme="majorHAnsi" w:cs="Times New Roman"/>
            <w:sz w:val="24"/>
            <w:szCs w:val="24"/>
            <w:lang w:val="en-US"/>
          </w:rPr>
          <w:t xml:space="preserve">Regional Coordination Group on SDG4-Education 2030 in West and Central Africa </w:t>
        </w:r>
        <w:r w:rsidR="00643CB3" w:rsidRPr="00AA566D">
          <w:rPr>
            <w:rFonts w:asciiTheme="majorHAnsi" w:hAnsiTheme="majorHAnsi" w:cs="Times New Roman"/>
            <w:sz w:val="24"/>
            <w:szCs w:val="24"/>
            <w:lang w:val="en-US"/>
          </w:rPr>
          <w:t>(RCG4</w:t>
        </w:r>
        <w:r w:rsidR="00B371E5" w:rsidRPr="00AA566D">
          <w:rPr>
            <w:rFonts w:asciiTheme="majorHAnsi" w:hAnsiTheme="majorHAnsi" w:cs="Times New Roman"/>
            <w:sz w:val="24"/>
            <w:szCs w:val="24"/>
            <w:lang w:val="en-US"/>
          </w:rPr>
          <w:t>-WCA)</w:t>
        </w:r>
      </w:hyperlink>
      <w:r w:rsidR="00CE3D2F" w:rsidRPr="00AA566D">
        <w:rPr>
          <w:rFonts w:asciiTheme="majorHAnsi" w:hAnsiTheme="majorHAnsi" w:cs="Times New Roman"/>
          <w:sz w:val="24"/>
          <w:szCs w:val="24"/>
          <w:lang w:val="en-US"/>
        </w:rPr>
        <w:t xml:space="preserve"> or colleagues from their respective organizations</w:t>
      </w:r>
      <w:r w:rsidR="000161B7" w:rsidRPr="00AA566D">
        <w:rPr>
          <w:rFonts w:asciiTheme="majorHAnsi" w:hAnsiTheme="majorHAnsi" w:cs="Times New Roman"/>
          <w:sz w:val="24"/>
          <w:szCs w:val="24"/>
          <w:lang w:val="en-US"/>
        </w:rPr>
        <w:t xml:space="preserve">. An international consultant will </w:t>
      </w:r>
      <w:r w:rsidR="000F03C9" w:rsidRPr="00AA566D">
        <w:rPr>
          <w:rFonts w:asciiTheme="majorHAnsi" w:hAnsiTheme="majorHAnsi" w:cs="Times New Roman"/>
          <w:sz w:val="24"/>
          <w:szCs w:val="24"/>
          <w:lang w:val="en-US"/>
        </w:rPr>
        <w:t>be hire</w:t>
      </w:r>
      <w:r w:rsidR="00CE3D2F" w:rsidRPr="00AA566D">
        <w:rPr>
          <w:rFonts w:asciiTheme="majorHAnsi" w:hAnsiTheme="majorHAnsi" w:cs="Times New Roman"/>
          <w:sz w:val="24"/>
          <w:szCs w:val="24"/>
          <w:lang w:val="en-US"/>
        </w:rPr>
        <w:t>d</w:t>
      </w:r>
      <w:r w:rsidR="000F03C9" w:rsidRPr="00AA566D">
        <w:rPr>
          <w:rFonts w:asciiTheme="majorHAnsi" w:hAnsiTheme="majorHAnsi" w:cs="Times New Roman"/>
          <w:sz w:val="24"/>
          <w:szCs w:val="24"/>
          <w:lang w:val="en-US"/>
        </w:rPr>
        <w:t xml:space="preserve"> </w:t>
      </w:r>
      <w:r w:rsidR="005E1C7A" w:rsidRPr="00AA566D">
        <w:rPr>
          <w:rFonts w:asciiTheme="majorHAnsi" w:hAnsiTheme="majorHAnsi" w:cs="Times New Roman"/>
          <w:sz w:val="24"/>
          <w:szCs w:val="24"/>
          <w:lang w:val="en-US"/>
        </w:rPr>
        <w:t xml:space="preserve">by the RCG4-WCA </w:t>
      </w:r>
      <w:r w:rsidR="000F03C9" w:rsidRPr="00AA566D">
        <w:rPr>
          <w:rFonts w:asciiTheme="majorHAnsi" w:hAnsiTheme="majorHAnsi" w:cs="Times New Roman"/>
          <w:sz w:val="24"/>
          <w:szCs w:val="24"/>
          <w:lang w:val="en-US"/>
        </w:rPr>
        <w:t xml:space="preserve">to </w:t>
      </w:r>
      <w:r w:rsidR="000161B7" w:rsidRPr="00AA566D">
        <w:rPr>
          <w:rFonts w:asciiTheme="majorHAnsi" w:hAnsiTheme="majorHAnsi" w:cs="Times New Roman"/>
          <w:sz w:val="24"/>
          <w:szCs w:val="24"/>
          <w:lang w:val="en-US"/>
        </w:rPr>
        <w:t>support the regional task force</w:t>
      </w:r>
      <w:r w:rsidRPr="00AA566D">
        <w:rPr>
          <w:rFonts w:asciiTheme="majorHAnsi" w:hAnsiTheme="majorHAnsi" w:cs="Times New Roman"/>
          <w:sz w:val="24"/>
          <w:szCs w:val="24"/>
          <w:lang w:val="en-US"/>
        </w:rPr>
        <w:t xml:space="preserve">. </w:t>
      </w:r>
    </w:p>
    <w:p w14:paraId="07C743C4" w14:textId="77777777" w:rsidR="005E1C7A" w:rsidRPr="00AA566D" w:rsidRDefault="005E1C7A" w:rsidP="005E1C7A">
      <w:pPr>
        <w:spacing w:after="0" w:line="240" w:lineRule="auto"/>
        <w:jc w:val="both"/>
        <w:rPr>
          <w:rFonts w:asciiTheme="majorHAnsi" w:hAnsiTheme="majorHAnsi" w:cs="Times New Roman"/>
          <w:sz w:val="24"/>
          <w:szCs w:val="24"/>
          <w:lang w:val="en-US"/>
        </w:rPr>
      </w:pPr>
    </w:p>
    <w:p w14:paraId="7DAAC102" w14:textId="653E2475" w:rsidR="005E1C7A" w:rsidRPr="00AA566D" w:rsidRDefault="005E1C7A" w:rsidP="005E1C7A">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In addition to set</w:t>
      </w:r>
      <w:r w:rsidR="00CE3D2F" w:rsidRPr="00AA566D">
        <w:rPr>
          <w:rFonts w:asciiTheme="majorHAnsi" w:hAnsiTheme="majorHAnsi" w:cs="Times New Roman"/>
          <w:sz w:val="24"/>
          <w:szCs w:val="24"/>
          <w:lang w:val="en-US"/>
        </w:rPr>
        <w:t>ting up the regional task force and hiring</w:t>
      </w:r>
      <w:r w:rsidRPr="00AA566D">
        <w:rPr>
          <w:rFonts w:asciiTheme="majorHAnsi" w:hAnsiTheme="majorHAnsi" w:cs="Times New Roman"/>
          <w:sz w:val="24"/>
          <w:szCs w:val="24"/>
          <w:lang w:val="en-US"/>
        </w:rPr>
        <w:t xml:space="preserve"> the international consultant, the </w:t>
      </w:r>
      <w:hyperlink r:id="rId10" w:history="1">
        <w:r w:rsidRPr="00AA566D">
          <w:rPr>
            <w:rFonts w:asciiTheme="majorHAnsi" w:hAnsiTheme="majorHAnsi" w:cs="Times New Roman"/>
            <w:sz w:val="24"/>
            <w:szCs w:val="24"/>
            <w:lang w:val="en-US"/>
          </w:rPr>
          <w:t>RCG4-WCA</w:t>
        </w:r>
      </w:hyperlink>
      <w:r w:rsidRPr="00AA566D">
        <w:rPr>
          <w:rFonts w:asciiTheme="majorHAnsi" w:hAnsiTheme="majorHAnsi" w:cs="Times New Roman"/>
          <w:sz w:val="24"/>
          <w:szCs w:val="24"/>
          <w:lang w:val="en-US"/>
        </w:rPr>
        <w:t xml:space="preserve"> will also </w:t>
      </w:r>
      <w:r w:rsidR="002C0BC3">
        <w:rPr>
          <w:rFonts w:asciiTheme="majorHAnsi" w:hAnsiTheme="majorHAnsi" w:cs="Times New Roman"/>
          <w:sz w:val="24"/>
          <w:szCs w:val="24"/>
          <w:lang w:val="en-US"/>
        </w:rPr>
        <w:t>select the</w:t>
      </w:r>
      <w:r w:rsidRPr="00AA566D">
        <w:rPr>
          <w:rFonts w:asciiTheme="majorHAnsi" w:hAnsiTheme="majorHAnsi" w:cs="Times New Roman"/>
          <w:sz w:val="24"/>
          <w:szCs w:val="24"/>
          <w:lang w:val="en-US"/>
        </w:rPr>
        <w:t xml:space="preserve"> countries to be consider</w:t>
      </w:r>
      <w:r w:rsidR="00CE3D2F" w:rsidRPr="00AA566D">
        <w:rPr>
          <w:rFonts w:asciiTheme="majorHAnsi" w:hAnsiTheme="majorHAnsi" w:cs="Times New Roman"/>
          <w:sz w:val="24"/>
          <w:szCs w:val="24"/>
          <w:lang w:val="en-US"/>
        </w:rPr>
        <w:t>ed</w:t>
      </w:r>
      <w:r w:rsidRPr="00AA566D">
        <w:rPr>
          <w:rFonts w:asciiTheme="majorHAnsi" w:hAnsiTheme="majorHAnsi" w:cs="Times New Roman"/>
          <w:sz w:val="24"/>
          <w:szCs w:val="24"/>
          <w:lang w:val="en-US"/>
        </w:rPr>
        <w:t xml:space="preserve"> for the study</w:t>
      </w:r>
      <w:r w:rsidR="002C0BC3">
        <w:rPr>
          <w:rFonts w:asciiTheme="majorHAnsi" w:hAnsiTheme="majorHAnsi" w:cs="Times New Roman"/>
          <w:sz w:val="24"/>
          <w:szCs w:val="24"/>
          <w:lang w:val="en-US"/>
        </w:rPr>
        <w:t>, which will be influenced by financial resource mobilization.</w:t>
      </w:r>
    </w:p>
    <w:p w14:paraId="601A4797" w14:textId="77777777" w:rsidR="005E1C7A" w:rsidRPr="00AA566D" w:rsidRDefault="005E1C7A" w:rsidP="000F03C9">
      <w:pPr>
        <w:spacing w:after="0" w:line="240" w:lineRule="auto"/>
        <w:jc w:val="both"/>
        <w:rPr>
          <w:rFonts w:asciiTheme="majorHAnsi" w:hAnsiTheme="majorHAnsi" w:cs="Times New Roman"/>
          <w:sz w:val="24"/>
          <w:szCs w:val="24"/>
          <w:lang w:val="en-US"/>
        </w:rPr>
      </w:pPr>
    </w:p>
    <w:p w14:paraId="7C0AD9CD" w14:textId="3C241BF1" w:rsidR="005432F7" w:rsidRPr="00AA566D" w:rsidRDefault="005432F7" w:rsidP="000F03C9">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Th</w:t>
      </w:r>
      <w:r w:rsidR="000161B7" w:rsidRPr="00AA566D">
        <w:rPr>
          <w:rFonts w:asciiTheme="majorHAnsi" w:hAnsiTheme="majorHAnsi" w:cs="Times New Roman"/>
          <w:sz w:val="24"/>
          <w:szCs w:val="24"/>
          <w:lang w:val="en-US"/>
        </w:rPr>
        <w:t xml:space="preserve">e regional task force </w:t>
      </w:r>
      <w:r w:rsidR="000F03C9" w:rsidRPr="00AA566D">
        <w:rPr>
          <w:rFonts w:asciiTheme="majorHAnsi" w:hAnsiTheme="majorHAnsi" w:cs="Times New Roman"/>
          <w:sz w:val="24"/>
          <w:szCs w:val="24"/>
          <w:lang w:val="en-US"/>
        </w:rPr>
        <w:t xml:space="preserve">will in turn set up </w:t>
      </w:r>
      <w:r w:rsidR="000F03C9" w:rsidRPr="002C0BC3">
        <w:rPr>
          <w:rFonts w:asciiTheme="majorHAnsi" w:hAnsiTheme="majorHAnsi" w:cs="Times New Roman"/>
          <w:b/>
          <w:sz w:val="24"/>
          <w:szCs w:val="24"/>
          <w:lang w:val="en-US"/>
        </w:rPr>
        <w:t>national</w:t>
      </w:r>
      <w:r w:rsidRPr="002C0BC3">
        <w:rPr>
          <w:rFonts w:asciiTheme="majorHAnsi" w:hAnsiTheme="majorHAnsi" w:cs="Times New Roman"/>
          <w:b/>
          <w:sz w:val="24"/>
          <w:szCs w:val="24"/>
          <w:lang w:val="en-US"/>
        </w:rPr>
        <w:t xml:space="preserve"> team</w:t>
      </w:r>
      <w:r w:rsidR="002C0BC3" w:rsidRPr="002C0BC3">
        <w:rPr>
          <w:rFonts w:asciiTheme="majorHAnsi" w:hAnsiTheme="majorHAnsi" w:cs="Times New Roman"/>
          <w:b/>
          <w:sz w:val="24"/>
          <w:szCs w:val="24"/>
          <w:lang w:val="en-US"/>
        </w:rPr>
        <w:t>s</w:t>
      </w:r>
      <w:r w:rsidR="000F03C9" w:rsidRPr="00AA566D">
        <w:rPr>
          <w:rFonts w:asciiTheme="majorHAnsi" w:hAnsiTheme="majorHAnsi" w:cs="Times New Roman"/>
          <w:sz w:val="24"/>
          <w:szCs w:val="24"/>
          <w:lang w:val="en-US"/>
        </w:rPr>
        <w:t xml:space="preserve"> in each of the selected </w:t>
      </w:r>
      <w:r w:rsidRPr="00AA566D">
        <w:rPr>
          <w:rFonts w:asciiTheme="majorHAnsi" w:hAnsiTheme="majorHAnsi" w:cs="Times New Roman"/>
          <w:sz w:val="24"/>
          <w:szCs w:val="24"/>
          <w:lang w:val="en-US"/>
        </w:rPr>
        <w:t>countr</w:t>
      </w:r>
      <w:r w:rsidR="000F03C9" w:rsidRPr="00AA566D">
        <w:rPr>
          <w:rFonts w:asciiTheme="majorHAnsi" w:hAnsiTheme="majorHAnsi" w:cs="Times New Roman"/>
          <w:sz w:val="24"/>
          <w:szCs w:val="24"/>
          <w:lang w:val="en-US"/>
        </w:rPr>
        <w:t>ies.</w:t>
      </w:r>
      <w:r w:rsidRPr="00AA566D">
        <w:rPr>
          <w:rFonts w:asciiTheme="majorHAnsi" w:hAnsiTheme="majorHAnsi" w:cs="Times New Roman"/>
          <w:sz w:val="24"/>
          <w:szCs w:val="24"/>
          <w:lang w:val="en-US"/>
        </w:rPr>
        <w:t xml:space="preserve"> </w:t>
      </w:r>
      <w:r w:rsidR="000161B7" w:rsidRPr="00AA566D">
        <w:rPr>
          <w:rFonts w:asciiTheme="majorHAnsi" w:hAnsiTheme="majorHAnsi" w:cs="Times New Roman"/>
          <w:sz w:val="24"/>
          <w:szCs w:val="24"/>
          <w:lang w:val="en-US"/>
        </w:rPr>
        <w:t>Each national te</w:t>
      </w:r>
      <w:r w:rsidR="002C0BC3">
        <w:rPr>
          <w:rFonts w:asciiTheme="majorHAnsi" w:hAnsiTheme="majorHAnsi" w:cs="Times New Roman"/>
          <w:sz w:val="24"/>
          <w:szCs w:val="24"/>
          <w:lang w:val="en-US"/>
        </w:rPr>
        <w:t>am will be compose by two individuals: o</w:t>
      </w:r>
      <w:r w:rsidR="000161B7" w:rsidRPr="00AA566D">
        <w:rPr>
          <w:rFonts w:asciiTheme="majorHAnsi" w:hAnsiTheme="majorHAnsi" w:cs="Times New Roman"/>
          <w:sz w:val="24"/>
          <w:szCs w:val="24"/>
          <w:lang w:val="en-US"/>
        </w:rPr>
        <w:t>ne official appointed by the</w:t>
      </w:r>
      <w:r w:rsidR="000161B7" w:rsidRPr="00AA566D">
        <w:rPr>
          <w:rFonts w:asciiTheme="majorHAnsi" w:hAnsiTheme="majorHAnsi" w:cs="Times New Roman"/>
          <w:color w:val="2E74B5" w:themeColor="accent1" w:themeShade="BF"/>
          <w:sz w:val="24"/>
          <w:szCs w:val="24"/>
          <w:lang w:val="en-US"/>
        </w:rPr>
        <w:t xml:space="preserve"> </w:t>
      </w:r>
      <w:r w:rsidR="000F03C9" w:rsidRPr="00AA566D">
        <w:rPr>
          <w:rFonts w:asciiTheme="majorHAnsi" w:hAnsiTheme="majorHAnsi" w:cs="Times New Roman"/>
          <w:sz w:val="24"/>
          <w:szCs w:val="24"/>
          <w:lang w:val="en-US"/>
        </w:rPr>
        <w:t xml:space="preserve">main </w:t>
      </w:r>
      <w:r w:rsidR="000161B7" w:rsidRPr="00AA566D">
        <w:rPr>
          <w:rFonts w:asciiTheme="majorHAnsi" w:hAnsiTheme="majorHAnsi" w:cs="Times New Roman"/>
          <w:sz w:val="24"/>
          <w:szCs w:val="24"/>
          <w:lang w:val="en-US"/>
        </w:rPr>
        <w:t>ministry in charge of education and training of the country and one national consultant recruited by the regional task team.</w:t>
      </w:r>
      <w:r w:rsidR="000F03C9" w:rsidRPr="00AA566D">
        <w:rPr>
          <w:rFonts w:asciiTheme="majorHAnsi" w:hAnsiTheme="majorHAnsi" w:cs="Times New Roman"/>
          <w:sz w:val="24"/>
          <w:szCs w:val="24"/>
          <w:lang w:val="en-US"/>
        </w:rPr>
        <w:t xml:space="preserve"> </w:t>
      </w:r>
      <w:r w:rsidR="00E9652B" w:rsidRPr="00AA566D">
        <w:rPr>
          <w:rFonts w:asciiTheme="majorHAnsi" w:hAnsiTheme="majorHAnsi" w:cs="Times New Roman"/>
          <w:sz w:val="24"/>
          <w:szCs w:val="24"/>
          <w:lang w:val="en-US"/>
        </w:rPr>
        <w:t xml:space="preserve">The mandate of the national team will </w:t>
      </w:r>
      <w:r w:rsidR="002C0BC3">
        <w:rPr>
          <w:rFonts w:asciiTheme="majorHAnsi" w:hAnsiTheme="majorHAnsi" w:cs="Times New Roman"/>
          <w:sz w:val="24"/>
          <w:szCs w:val="24"/>
          <w:lang w:val="en-US"/>
        </w:rPr>
        <w:t>center on</w:t>
      </w:r>
      <w:r w:rsidR="00E9652B" w:rsidRPr="00AA566D">
        <w:rPr>
          <w:rFonts w:asciiTheme="majorHAnsi" w:hAnsiTheme="majorHAnsi" w:cs="Times New Roman"/>
          <w:sz w:val="24"/>
          <w:szCs w:val="24"/>
          <w:lang w:val="en-US"/>
        </w:rPr>
        <w:t xml:space="preserve"> the preparation of </w:t>
      </w:r>
      <w:r w:rsidR="002C0BC3">
        <w:rPr>
          <w:rFonts w:asciiTheme="majorHAnsi" w:hAnsiTheme="majorHAnsi" w:cs="Times New Roman"/>
          <w:sz w:val="24"/>
          <w:szCs w:val="24"/>
          <w:lang w:val="en-US"/>
        </w:rPr>
        <w:t>a</w:t>
      </w:r>
      <w:r w:rsidR="00E9652B" w:rsidRPr="00AA566D">
        <w:rPr>
          <w:rFonts w:asciiTheme="majorHAnsi" w:hAnsiTheme="majorHAnsi" w:cs="Times New Roman"/>
          <w:sz w:val="24"/>
          <w:szCs w:val="24"/>
          <w:lang w:val="en-US"/>
        </w:rPr>
        <w:t xml:space="preserve"> </w:t>
      </w:r>
      <w:r w:rsidR="000F03C9" w:rsidRPr="00AA566D">
        <w:rPr>
          <w:rFonts w:asciiTheme="majorHAnsi" w:hAnsiTheme="majorHAnsi" w:cs="Times New Roman"/>
          <w:sz w:val="24"/>
          <w:szCs w:val="24"/>
          <w:lang w:val="en-US"/>
        </w:rPr>
        <w:t>national stud</w:t>
      </w:r>
      <w:r w:rsidR="00E9652B" w:rsidRPr="00AA566D">
        <w:rPr>
          <w:rFonts w:asciiTheme="majorHAnsi" w:hAnsiTheme="majorHAnsi" w:cs="Times New Roman"/>
          <w:sz w:val="24"/>
          <w:szCs w:val="24"/>
          <w:lang w:val="en-US"/>
        </w:rPr>
        <w:t>y on the relevance of the national education and training system</w:t>
      </w:r>
      <w:r w:rsidR="000F03C9" w:rsidRPr="00AA566D">
        <w:rPr>
          <w:rFonts w:asciiTheme="majorHAnsi" w:hAnsiTheme="majorHAnsi" w:cs="Times New Roman"/>
          <w:sz w:val="24"/>
          <w:szCs w:val="24"/>
          <w:lang w:val="en-US"/>
        </w:rPr>
        <w:t>.</w:t>
      </w:r>
    </w:p>
    <w:p w14:paraId="47F0C788" w14:textId="726F6E6D" w:rsidR="005448FE" w:rsidRPr="00AA566D" w:rsidRDefault="005448FE" w:rsidP="00D2587D">
      <w:pPr>
        <w:spacing w:after="0" w:line="240" w:lineRule="auto"/>
        <w:jc w:val="both"/>
        <w:rPr>
          <w:rFonts w:asciiTheme="majorHAnsi" w:hAnsiTheme="majorHAnsi" w:cs="Times New Roman"/>
          <w:sz w:val="24"/>
          <w:szCs w:val="24"/>
          <w:lang w:val="en-US"/>
        </w:rPr>
      </w:pPr>
    </w:p>
    <w:p w14:paraId="57F89282" w14:textId="104CDC2D" w:rsidR="005448FE" w:rsidRPr="00AA566D" w:rsidRDefault="005448FE"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The regional task </w:t>
      </w:r>
      <w:r w:rsidR="00CE3D2F" w:rsidRPr="00AA566D">
        <w:rPr>
          <w:rFonts w:asciiTheme="majorHAnsi" w:hAnsiTheme="majorHAnsi" w:cs="Times New Roman"/>
          <w:sz w:val="24"/>
          <w:szCs w:val="24"/>
          <w:lang w:val="en-US"/>
        </w:rPr>
        <w:t xml:space="preserve">force </w:t>
      </w:r>
      <w:r w:rsidRPr="00AA566D">
        <w:rPr>
          <w:rFonts w:asciiTheme="majorHAnsi" w:hAnsiTheme="majorHAnsi" w:cs="Times New Roman"/>
          <w:sz w:val="24"/>
          <w:szCs w:val="24"/>
          <w:lang w:val="en-US"/>
        </w:rPr>
        <w:t xml:space="preserve">will be </w:t>
      </w:r>
      <w:r w:rsidR="002C0BC3">
        <w:rPr>
          <w:rFonts w:asciiTheme="majorHAnsi" w:hAnsiTheme="majorHAnsi" w:cs="Times New Roman"/>
          <w:sz w:val="24"/>
          <w:szCs w:val="24"/>
          <w:lang w:val="en-US"/>
        </w:rPr>
        <w:t>charged with</w:t>
      </w:r>
      <w:r w:rsidR="00E9652B" w:rsidRPr="00AA566D">
        <w:rPr>
          <w:rFonts w:asciiTheme="majorHAnsi" w:hAnsiTheme="majorHAnsi" w:cs="Times New Roman"/>
          <w:sz w:val="24"/>
          <w:szCs w:val="24"/>
          <w:lang w:val="en-US"/>
        </w:rPr>
        <w:t xml:space="preserve"> the</w:t>
      </w:r>
      <w:r w:rsidRPr="00AA566D">
        <w:rPr>
          <w:rFonts w:asciiTheme="majorHAnsi" w:hAnsiTheme="majorHAnsi" w:cs="Times New Roman"/>
          <w:sz w:val="24"/>
          <w:szCs w:val="24"/>
          <w:lang w:val="en-US"/>
        </w:rPr>
        <w:t xml:space="preserve"> co</w:t>
      </w:r>
      <w:r w:rsidR="00E9652B" w:rsidRPr="00AA566D">
        <w:rPr>
          <w:rFonts w:asciiTheme="majorHAnsi" w:hAnsiTheme="majorHAnsi" w:cs="Times New Roman"/>
          <w:sz w:val="24"/>
          <w:szCs w:val="24"/>
          <w:lang w:val="en-US"/>
        </w:rPr>
        <w:t>nsolidation of the national reports</w:t>
      </w:r>
      <w:r w:rsidRPr="00AA566D">
        <w:rPr>
          <w:rFonts w:asciiTheme="majorHAnsi" w:hAnsiTheme="majorHAnsi" w:cs="Times New Roman"/>
          <w:sz w:val="24"/>
          <w:szCs w:val="24"/>
          <w:lang w:val="en-US"/>
        </w:rPr>
        <w:t xml:space="preserve"> produced in each </w:t>
      </w:r>
      <w:r w:rsidR="00E9652B" w:rsidRPr="00AA566D">
        <w:rPr>
          <w:rFonts w:asciiTheme="majorHAnsi" w:hAnsiTheme="majorHAnsi" w:cs="Times New Roman"/>
          <w:sz w:val="24"/>
          <w:szCs w:val="24"/>
          <w:lang w:val="en-US"/>
        </w:rPr>
        <w:t xml:space="preserve">of the selected </w:t>
      </w:r>
      <w:r w:rsidRPr="00AA566D">
        <w:rPr>
          <w:rFonts w:asciiTheme="majorHAnsi" w:hAnsiTheme="majorHAnsi" w:cs="Times New Roman"/>
          <w:sz w:val="24"/>
          <w:szCs w:val="24"/>
          <w:lang w:val="en-US"/>
        </w:rPr>
        <w:t>countr</w:t>
      </w:r>
      <w:r w:rsidR="00092927" w:rsidRPr="00AA566D">
        <w:rPr>
          <w:rFonts w:asciiTheme="majorHAnsi" w:hAnsiTheme="majorHAnsi" w:cs="Times New Roman"/>
          <w:sz w:val="24"/>
          <w:szCs w:val="24"/>
          <w:lang w:val="en-US"/>
        </w:rPr>
        <w:t>ies</w:t>
      </w:r>
      <w:r w:rsidRPr="00AA566D">
        <w:rPr>
          <w:rFonts w:asciiTheme="majorHAnsi" w:hAnsiTheme="majorHAnsi" w:cs="Times New Roman"/>
          <w:sz w:val="24"/>
          <w:szCs w:val="24"/>
          <w:lang w:val="en-US"/>
        </w:rPr>
        <w:t xml:space="preserve"> </w:t>
      </w:r>
      <w:r w:rsidR="00E9652B" w:rsidRPr="00AA566D">
        <w:rPr>
          <w:rFonts w:asciiTheme="majorHAnsi" w:hAnsiTheme="majorHAnsi" w:cs="Times New Roman"/>
          <w:sz w:val="24"/>
          <w:szCs w:val="24"/>
          <w:lang w:val="en-US"/>
        </w:rPr>
        <w:t xml:space="preserve">in order to produce </w:t>
      </w:r>
      <w:r w:rsidRPr="00AA566D">
        <w:rPr>
          <w:rFonts w:asciiTheme="majorHAnsi" w:hAnsiTheme="majorHAnsi" w:cs="Times New Roman"/>
          <w:sz w:val="24"/>
          <w:szCs w:val="24"/>
          <w:lang w:val="en-US"/>
        </w:rPr>
        <w:t xml:space="preserve">the regional report. In particular, </w:t>
      </w:r>
      <w:r w:rsidR="00E9652B" w:rsidRPr="00AA566D">
        <w:rPr>
          <w:rFonts w:asciiTheme="majorHAnsi" w:hAnsiTheme="majorHAnsi" w:cs="Times New Roman"/>
          <w:sz w:val="24"/>
          <w:szCs w:val="24"/>
          <w:lang w:val="en-US"/>
        </w:rPr>
        <w:t xml:space="preserve">the regional task </w:t>
      </w:r>
      <w:r w:rsidR="00092927" w:rsidRPr="00AA566D">
        <w:rPr>
          <w:rFonts w:asciiTheme="majorHAnsi" w:hAnsiTheme="majorHAnsi" w:cs="Times New Roman"/>
          <w:sz w:val="24"/>
          <w:szCs w:val="24"/>
          <w:lang w:val="en-US"/>
        </w:rPr>
        <w:t>force</w:t>
      </w:r>
      <w:r w:rsidR="00E9652B" w:rsidRPr="00AA566D">
        <w:rPr>
          <w:rFonts w:asciiTheme="majorHAnsi" w:hAnsiTheme="majorHAnsi" w:cs="Times New Roman"/>
          <w:sz w:val="24"/>
          <w:szCs w:val="24"/>
          <w:lang w:val="en-US"/>
        </w:rPr>
        <w:t xml:space="preserve"> </w:t>
      </w:r>
      <w:r w:rsidR="00092927" w:rsidRPr="00AA566D">
        <w:rPr>
          <w:rFonts w:asciiTheme="majorHAnsi" w:hAnsiTheme="majorHAnsi" w:cs="Times New Roman"/>
          <w:sz w:val="24"/>
          <w:szCs w:val="24"/>
          <w:lang w:val="en-US"/>
        </w:rPr>
        <w:t>will</w:t>
      </w:r>
      <w:r w:rsidRPr="00AA566D">
        <w:rPr>
          <w:rFonts w:asciiTheme="majorHAnsi" w:hAnsiTheme="majorHAnsi" w:cs="Times New Roman"/>
          <w:sz w:val="24"/>
          <w:szCs w:val="24"/>
          <w:lang w:val="en-US"/>
        </w:rPr>
        <w:t xml:space="preserve">: </w:t>
      </w:r>
    </w:p>
    <w:p w14:paraId="7619656E" w14:textId="3417A2B2" w:rsidR="005448FE" w:rsidRPr="00AA566D" w:rsidRDefault="002C0BC3" w:rsidP="00D2587D">
      <w:pPr>
        <w:pStyle w:val="ListParagraph"/>
        <w:numPr>
          <w:ilvl w:val="0"/>
          <w:numId w:val="7"/>
        </w:num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p</w:t>
      </w:r>
      <w:r w:rsidR="005448FE" w:rsidRPr="00AA566D">
        <w:rPr>
          <w:rFonts w:asciiTheme="majorHAnsi" w:hAnsiTheme="majorHAnsi" w:cs="Times New Roman"/>
          <w:sz w:val="24"/>
          <w:szCs w:val="24"/>
          <w:lang w:val="en-US"/>
        </w:rPr>
        <w:t>roduce all the methodological tools and approaches that will be use</w:t>
      </w:r>
      <w:r w:rsidR="00E9652B" w:rsidRPr="00AA566D">
        <w:rPr>
          <w:rFonts w:asciiTheme="majorHAnsi" w:hAnsiTheme="majorHAnsi" w:cs="Times New Roman"/>
          <w:sz w:val="24"/>
          <w:szCs w:val="24"/>
          <w:lang w:val="en-US"/>
        </w:rPr>
        <w:t>d in the framework of the whole study (</w:t>
      </w:r>
      <w:r w:rsidR="005448FE" w:rsidRPr="00AA566D">
        <w:rPr>
          <w:rFonts w:asciiTheme="majorHAnsi" w:hAnsiTheme="majorHAnsi" w:cs="Times New Roman"/>
          <w:sz w:val="24"/>
          <w:szCs w:val="24"/>
          <w:lang w:val="en-US"/>
        </w:rPr>
        <w:t>the terms of reference of the country study, the country survey sheets, the outline of the c</w:t>
      </w:r>
      <w:r>
        <w:rPr>
          <w:rFonts w:asciiTheme="majorHAnsi" w:hAnsiTheme="majorHAnsi" w:cs="Times New Roman"/>
          <w:sz w:val="24"/>
          <w:szCs w:val="24"/>
          <w:lang w:val="en-US"/>
        </w:rPr>
        <w:t>ountry reports, etc.</w:t>
      </w:r>
      <w:r w:rsidR="00E9652B" w:rsidRPr="00AA566D">
        <w:rPr>
          <w:rFonts w:asciiTheme="majorHAnsi" w:hAnsiTheme="majorHAnsi" w:cs="Times New Roman"/>
          <w:sz w:val="24"/>
          <w:szCs w:val="24"/>
          <w:lang w:val="en-US"/>
        </w:rPr>
        <w:t>);</w:t>
      </w:r>
    </w:p>
    <w:p w14:paraId="475535DB" w14:textId="7BF18E89" w:rsidR="005448FE" w:rsidRPr="00AA566D" w:rsidRDefault="002C0BC3" w:rsidP="00D2587D">
      <w:pPr>
        <w:pStyle w:val="ListParagraph"/>
        <w:numPr>
          <w:ilvl w:val="0"/>
          <w:numId w:val="7"/>
        </w:num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c</w:t>
      </w:r>
      <w:r w:rsidR="00092927" w:rsidRPr="00AA566D">
        <w:rPr>
          <w:rFonts w:asciiTheme="majorHAnsi" w:hAnsiTheme="majorHAnsi" w:cs="Times New Roman"/>
          <w:sz w:val="24"/>
          <w:szCs w:val="24"/>
          <w:lang w:val="en-US"/>
        </w:rPr>
        <w:t>onduct</w:t>
      </w:r>
      <w:r w:rsidR="00E9652B" w:rsidRPr="00AA566D">
        <w:rPr>
          <w:rFonts w:asciiTheme="majorHAnsi" w:hAnsiTheme="majorHAnsi" w:cs="Times New Roman"/>
          <w:sz w:val="24"/>
          <w:szCs w:val="24"/>
          <w:lang w:val="en-US"/>
        </w:rPr>
        <w:t xml:space="preserve"> q</w:t>
      </w:r>
      <w:r w:rsidR="005448FE" w:rsidRPr="00AA566D">
        <w:rPr>
          <w:rFonts w:asciiTheme="majorHAnsi" w:hAnsiTheme="majorHAnsi" w:cs="Times New Roman"/>
          <w:sz w:val="24"/>
          <w:szCs w:val="24"/>
          <w:lang w:val="en-US"/>
        </w:rPr>
        <w:t>ua</w:t>
      </w:r>
      <w:r w:rsidR="00E9652B" w:rsidRPr="00AA566D">
        <w:rPr>
          <w:rFonts w:asciiTheme="majorHAnsi" w:hAnsiTheme="majorHAnsi" w:cs="Times New Roman"/>
          <w:sz w:val="24"/>
          <w:szCs w:val="24"/>
          <w:lang w:val="en-US"/>
        </w:rPr>
        <w:t>lity assurance of the case studies</w:t>
      </w:r>
      <w:r w:rsidR="005448FE" w:rsidRPr="00AA566D">
        <w:rPr>
          <w:rFonts w:asciiTheme="majorHAnsi" w:hAnsiTheme="majorHAnsi" w:cs="Times New Roman"/>
          <w:sz w:val="24"/>
          <w:szCs w:val="24"/>
          <w:lang w:val="en-US"/>
        </w:rPr>
        <w:t xml:space="preserve"> carried out at the national level by </w:t>
      </w:r>
      <w:r>
        <w:rPr>
          <w:rFonts w:asciiTheme="majorHAnsi" w:hAnsiTheme="majorHAnsi" w:cs="Times New Roman"/>
          <w:sz w:val="24"/>
          <w:szCs w:val="24"/>
          <w:lang w:val="en-US"/>
        </w:rPr>
        <w:t xml:space="preserve">the </w:t>
      </w:r>
      <w:r w:rsidR="005448FE" w:rsidRPr="00AA566D">
        <w:rPr>
          <w:rFonts w:asciiTheme="majorHAnsi" w:hAnsiTheme="majorHAnsi" w:cs="Times New Roman"/>
          <w:sz w:val="24"/>
          <w:szCs w:val="24"/>
          <w:lang w:val="en-US"/>
        </w:rPr>
        <w:t xml:space="preserve">national teams; </w:t>
      </w:r>
    </w:p>
    <w:p w14:paraId="6498AED5" w14:textId="675222BF" w:rsidR="005448FE" w:rsidRPr="00AA566D" w:rsidRDefault="002C0BC3" w:rsidP="00D2587D">
      <w:pPr>
        <w:pStyle w:val="ListParagraph"/>
        <w:numPr>
          <w:ilvl w:val="0"/>
          <w:numId w:val="7"/>
        </w:num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c</w:t>
      </w:r>
      <w:r w:rsidR="005448FE" w:rsidRPr="00AA566D">
        <w:rPr>
          <w:rFonts w:asciiTheme="majorHAnsi" w:hAnsiTheme="majorHAnsi" w:cs="Times New Roman"/>
          <w:sz w:val="24"/>
          <w:szCs w:val="24"/>
          <w:lang w:val="en-US"/>
        </w:rPr>
        <w:t>ompilation of country reports to produce the regional report;</w:t>
      </w:r>
    </w:p>
    <w:p w14:paraId="5077FAFE" w14:textId="0D19B58D" w:rsidR="005448FE" w:rsidRPr="00AA566D" w:rsidRDefault="002C0BC3" w:rsidP="00D2587D">
      <w:pPr>
        <w:pStyle w:val="ListParagraph"/>
        <w:numPr>
          <w:ilvl w:val="0"/>
          <w:numId w:val="7"/>
        </w:num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o</w:t>
      </w:r>
      <w:r w:rsidR="005448FE" w:rsidRPr="00AA566D">
        <w:rPr>
          <w:rFonts w:asciiTheme="majorHAnsi" w:hAnsiTheme="majorHAnsi" w:cs="Times New Roman"/>
          <w:sz w:val="24"/>
          <w:szCs w:val="24"/>
          <w:lang w:val="en-US"/>
        </w:rPr>
        <w:t>rganization and facilitatio</w:t>
      </w:r>
      <w:r>
        <w:rPr>
          <w:rFonts w:asciiTheme="majorHAnsi" w:hAnsiTheme="majorHAnsi" w:cs="Times New Roman"/>
          <w:sz w:val="24"/>
          <w:szCs w:val="24"/>
          <w:lang w:val="en-US"/>
        </w:rPr>
        <w:t>n of the two regional workshops</w:t>
      </w:r>
      <w:r w:rsidR="005448FE" w:rsidRPr="00AA566D">
        <w:rPr>
          <w:rFonts w:asciiTheme="majorHAnsi" w:hAnsiTheme="majorHAnsi" w:cs="Times New Roman"/>
          <w:sz w:val="24"/>
          <w:szCs w:val="24"/>
          <w:lang w:val="en-US"/>
        </w:rPr>
        <w:t>.</w:t>
      </w:r>
    </w:p>
    <w:p w14:paraId="3FF83531" w14:textId="49319576" w:rsidR="00D2587D" w:rsidRPr="00AA566D" w:rsidRDefault="00D2587D" w:rsidP="00D2587D">
      <w:pPr>
        <w:spacing w:after="0" w:line="240" w:lineRule="auto"/>
        <w:jc w:val="both"/>
        <w:rPr>
          <w:rFonts w:asciiTheme="majorHAnsi" w:hAnsiTheme="majorHAnsi" w:cs="Times New Roman"/>
          <w:sz w:val="24"/>
          <w:szCs w:val="24"/>
          <w:lang w:val="en-US"/>
        </w:rPr>
      </w:pPr>
    </w:p>
    <w:p w14:paraId="0E3FAAAF" w14:textId="77777777" w:rsidR="00E9652B" w:rsidRPr="00AA566D" w:rsidRDefault="00E9652B" w:rsidP="00D2587D">
      <w:pPr>
        <w:spacing w:after="0" w:line="240" w:lineRule="auto"/>
        <w:jc w:val="both"/>
        <w:rPr>
          <w:rFonts w:asciiTheme="majorHAnsi" w:hAnsiTheme="majorHAnsi" w:cs="Times New Roman"/>
          <w:sz w:val="24"/>
          <w:szCs w:val="24"/>
          <w:lang w:val="en-US"/>
        </w:rPr>
      </w:pPr>
    </w:p>
    <w:p w14:paraId="422F38E8" w14:textId="7BA92F04" w:rsidR="00C7451F" w:rsidRPr="002C0BC3" w:rsidRDefault="00C7451F" w:rsidP="002C0BC3">
      <w:pPr>
        <w:pStyle w:val="ListParagraph"/>
        <w:numPr>
          <w:ilvl w:val="1"/>
          <w:numId w:val="13"/>
        </w:numPr>
        <w:spacing w:after="0" w:line="240" w:lineRule="auto"/>
        <w:ind w:left="709" w:hanging="709"/>
        <w:jc w:val="both"/>
        <w:rPr>
          <w:rFonts w:asciiTheme="majorHAnsi" w:hAnsiTheme="majorHAnsi" w:cs="Times New Roman"/>
          <w:color w:val="2E74B5" w:themeColor="accent1" w:themeShade="BF"/>
          <w:sz w:val="24"/>
          <w:szCs w:val="24"/>
          <w:u w:val="single"/>
          <w:lang w:val="en-US"/>
        </w:rPr>
      </w:pPr>
      <w:r w:rsidRPr="002C0BC3">
        <w:rPr>
          <w:rFonts w:asciiTheme="majorHAnsi" w:hAnsiTheme="majorHAnsi" w:cs="Times New Roman"/>
          <w:color w:val="2E74B5" w:themeColor="accent1" w:themeShade="BF"/>
          <w:sz w:val="24"/>
          <w:szCs w:val="24"/>
          <w:u w:val="single"/>
          <w:lang w:val="en-US"/>
        </w:rPr>
        <w:t>Organization of a technical regional workshop on the methodology for the analysis of the relevance of education and training</w:t>
      </w:r>
    </w:p>
    <w:p w14:paraId="018CD8A4" w14:textId="77777777" w:rsidR="00D2587D" w:rsidRPr="00AA566D" w:rsidRDefault="00D2587D" w:rsidP="00D2587D">
      <w:pPr>
        <w:pStyle w:val="ListParagraph"/>
        <w:spacing w:after="0" w:line="240" w:lineRule="auto"/>
        <w:ind w:left="360"/>
        <w:jc w:val="both"/>
        <w:rPr>
          <w:rFonts w:asciiTheme="majorHAnsi" w:hAnsiTheme="majorHAnsi" w:cs="Times New Roman"/>
          <w:b/>
          <w:color w:val="2E74B5" w:themeColor="accent1" w:themeShade="BF"/>
          <w:sz w:val="24"/>
          <w:szCs w:val="24"/>
          <w:u w:val="single"/>
          <w:lang w:val="en-US"/>
        </w:rPr>
      </w:pPr>
    </w:p>
    <w:p w14:paraId="0FFBCE87" w14:textId="3D5F9BA9" w:rsidR="00C169A6" w:rsidRPr="00AA566D" w:rsidRDefault="001B0035" w:rsidP="00D2587D">
      <w:p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A</w:t>
      </w:r>
      <w:r w:rsidR="00377130" w:rsidRPr="00AA566D">
        <w:rPr>
          <w:rFonts w:asciiTheme="majorHAnsi" w:hAnsiTheme="majorHAnsi" w:cs="Times New Roman"/>
          <w:sz w:val="24"/>
          <w:szCs w:val="24"/>
          <w:lang w:val="en-US"/>
        </w:rPr>
        <w:t xml:space="preserve"> technical</w:t>
      </w:r>
      <w:r w:rsidR="00045E76" w:rsidRPr="00AA566D">
        <w:rPr>
          <w:rFonts w:asciiTheme="majorHAnsi" w:hAnsiTheme="majorHAnsi" w:cs="Times New Roman"/>
          <w:sz w:val="24"/>
          <w:szCs w:val="24"/>
          <w:lang w:val="en-US"/>
        </w:rPr>
        <w:t xml:space="preserve"> regional workshop </w:t>
      </w:r>
      <w:r>
        <w:rPr>
          <w:rFonts w:asciiTheme="majorHAnsi" w:hAnsiTheme="majorHAnsi" w:cs="Times New Roman"/>
          <w:sz w:val="24"/>
          <w:szCs w:val="24"/>
          <w:lang w:val="en-US"/>
        </w:rPr>
        <w:t>will</w:t>
      </w:r>
      <w:r w:rsidR="00045E76" w:rsidRPr="00AA566D">
        <w:rPr>
          <w:rFonts w:asciiTheme="majorHAnsi" w:hAnsiTheme="majorHAnsi" w:cs="Times New Roman"/>
          <w:sz w:val="24"/>
          <w:szCs w:val="24"/>
          <w:lang w:val="en-US"/>
        </w:rPr>
        <w:t xml:space="preserve"> launch the initiative in Dakar</w:t>
      </w:r>
      <w:r>
        <w:rPr>
          <w:rFonts w:asciiTheme="majorHAnsi" w:hAnsiTheme="majorHAnsi" w:cs="Times New Roman"/>
          <w:sz w:val="24"/>
          <w:szCs w:val="24"/>
          <w:lang w:val="en-US"/>
        </w:rPr>
        <w:t>,</w:t>
      </w:r>
      <w:r w:rsidR="00045E76" w:rsidRPr="00AA566D">
        <w:rPr>
          <w:rFonts w:asciiTheme="majorHAnsi" w:hAnsiTheme="majorHAnsi" w:cs="Times New Roman"/>
          <w:sz w:val="24"/>
          <w:szCs w:val="24"/>
          <w:lang w:val="en-US"/>
        </w:rPr>
        <w:t xml:space="preserve"> with the participation of </w:t>
      </w:r>
      <w:r w:rsidR="00F72D11" w:rsidRPr="00AA566D">
        <w:rPr>
          <w:rFonts w:asciiTheme="majorHAnsi" w:hAnsiTheme="majorHAnsi" w:cs="Times New Roman"/>
          <w:sz w:val="24"/>
          <w:szCs w:val="24"/>
          <w:lang w:val="en-US"/>
        </w:rPr>
        <w:t>each of the</w:t>
      </w:r>
      <w:r w:rsidR="000161B7" w:rsidRPr="00AA566D">
        <w:rPr>
          <w:rFonts w:asciiTheme="majorHAnsi" w:hAnsiTheme="majorHAnsi" w:cs="Times New Roman"/>
          <w:sz w:val="24"/>
          <w:szCs w:val="24"/>
          <w:lang w:val="en-US"/>
        </w:rPr>
        <w:t xml:space="preserve"> national team</w:t>
      </w:r>
      <w:r w:rsidR="00F72D11" w:rsidRPr="00AA566D">
        <w:rPr>
          <w:rFonts w:asciiTheme="majorHAnsi" w:hAnsiTheme="majorHAnsi" w:cs="Times New Roman"/>
          <w:sz w:val="24"/>
          <w:szCs w:val="24"/>
          <w:lang w:val="en-US"/>
        </w:rPr>
        <w:t>s</w:t>
      </w:r>
      <w:r w:rsidR="00377130" w:rsidRPr="00AA566D">
        <w:rPr>
          <w:rFonts w:asciiTheme="majorHAnsi" w:hAnsiTheme="majorHAnsi" w:cs="Times New Roman"/>
          <w:sz w:val="24"/>
          <w:szCs w:val="24"/>
          <w:lang w:val="en-US"/>
        </w:rPr>
        <w:t>.</w:t>
      </w:r>
      <w:r w:rsidR="00F412A0" w:rsidRPr="00AA566D">
        <w:rPr>
          <w:rFonts w:asciiTheme="majorHAnsi" w:hAnsiTheme="majorHAnsi" w:cs="Times New Roman"/>
          <w:sz w:val="24"/>
          <w:szCs w:val="24"/>
          <w:lang w:val="en-US"/>
        </w:rPr>
        <w:t xml:space="preserve"> </w:t>
      </w:r>
      <w:r w:rsidR="00F6641C" w:rsidRPr="00AA566D">
        <w:rPr>
          <w:rFonts w:asciiTheme="majorHAnsi" w:hAnsiTheme="majorHAnsi" w:cs="Times New Roman"/>
          <w:sz w:val="24"/>
          <w:szCs w:val="24"/>
          <w:lang w:val="en-US"/>
        </w:rPr>
        <w:t>The regional</w:t>
      </w:r>
      <w:r w:rsidR="000161B7" w:rsidRPr="00AA566D">
        <w:rPr>
          <w:rFonts w:asciiTheme="majorHAnsi" w:hAnsiTheme="majorHAnsi" w:cs="Times New Roman"/>
          <w:sz w:val="24"/>
          <w:szCs w:val="24"/>
          <w:lang w:val="en-US"/>
        </w:rPr>
        <w:t xml:space="preserve"> task force </w:t>
      </w:r>
      <w:r w:rsidR="00F412A0" w:rsidRPr="00AA566D">
        <w:rPr>
          <w:rFonts w:asciiTheme="majorHAnsi" w:hAnsiTheme="majorHAnsi" w:cs="Times New Roman"/>
          <w:sz w:val="24"/>
          <w:szCs w:val="24"/>
          <w:lang w:val="en-US"/>
        </w:rPr>
        <w:t xml:space="preserve">will </w:t>
      </w:r>
      <w:r w:rsidR="000161B7" w:rsidRPr="00AA566D">
        <w:rPr>
          <w:rFonts w:asciiTheme="majorHAnsi" w:hAnsiTheme="majorHAnsi" w:cs="Times New Roman"/>
          <w:sz w:val="24"/>
          <w:szCs w:val="24"/>
          <w:lang w:val="en-US"/>
        </w:rPr>
        <w:t xml:space="preserve">organize and </w:t>
      </w:r>
      <w:r w:rsidR="00F412A0" w:rsidRPr="00AA566D">
        <w:rPr>
          <w:rFonts w:asciiTheme="majorHAnsi" w:hAnsiTheme="majorHAnsi" w:cs="Times New Roman"/>
          <w:sz w:val="24"/>
          <w:szCs w:val="24"/>
          <w:lang w:val="en-US"/>
        </w:rPr>
        <w:t>facilitate th</w:t>
      </w:r>
      <w:r w:rsidR="000161B7" w:rsidRPr="00AA566D">
        <w:rPr>
          <w:rFonts w:asciiTheme="majorHAnsi" w:hAnsiTheme="majorHAnsi" w:cs="Times New Roman"/>
          <w:sz w:val="24"/>
          <w:szCs w:val="24"/>
          <w:lang w:val="en-US"/>
        </w:rPr>
        <w:t>e</w:t>
      </w:r>
      <w:r w:rsidR="00F412A0" w:rsidRPr="00AA566D">
        <w:rPr>
          <w:rFonts w:asciiTheme="majorHAnsi" w:hAnsiTheme="majorHAnsi" w:cs="Times New Roman"/>
          <w:sz w:val="24"/>
          <w:szCs w:val="24"/>
          <w:lang w:val="en-US"/>
        </w:rPr>
        <w:t xml:space="preserve"> workshop.</w:t>
      </w:r>
      <w:r w:rsidR="00F6641C" w:rsidRPr="00AA566D">
        <w:rPr>
          <w:rFonts w:asciiTheme="majorHAnsi" w:hAnsiTheme="majorHAnsi" w:cs="Times New Roman"/>
          <w:sz w:val="24"/>
          <w:szCs w:val="24"/>
          <w:lang w:val="en-US"/>
        </w:rPr>
        <w:t xml:space="preserve"> </w:t>
      </w:r>
      <w:r w:rsidR="00F412A0" w:rsidRPr="00AA566D">
        <w:rPr>
          <w:rFonts w:asciiTheme="majorHAnsi" w:hAnsiTheme="majorHAnsi" w:cs="Times New Roman"/>
          <w:sz w:val="24"/>
          <w:szCs w:val="24"/>
          <w:lang w:val="en-US"/>
        </w:rPr>
        <w:t xml:space="preserve">The objective of this technical workshop will be threefold: </w:t>
      </w:r>
    </w:p>
    <w:p w14:paraId="1ACDE061" w14:textId="440EC4CF" w:rsidR="00C169A6" w:rsidRPr="00AA566D" w:rsidRDefault="001B0035" w:rsidP="00C169A6">
      <w:pPr>
        <w:pStyle w:val="ListParagraph"/>
        <w:numPr>
          <w:ilvl w:val="0"/>
          <w:numId w:val="24"/>
        </w:num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s</w:t>
      </w:r>
      <w:r w:rsidR="00F412A0" w:rsidRPr="00AA566D">
        <w:rPr>
          <w:rFonts w:asciiTheme="majorHAnsi" w:hAnsiTheme="majorHAnsi" w:cs="Times New Roman"/>
          <w:sz w:val="24"/>
          <w:szCs w:val="24"/>
          <w:lang w:val="en-US"/>
        </w:rPr>
        <w:t xml:space="preserve">trengthen the capacities of </w:t>
      </w:r>
      <w:r w:rsidR="00F6641C" w:rsidRPr="00AA566D">
        <w:rPr>
          <w:rFonts w:asciiTheme="majorHAnsi" w:hAnsiTheme="majorHAnsi" w:cs="Times New Roman"/>
          <w:sz w:val="24"/>
          <w:szCs w:val="24"/>
          <w:lang w:val="en-US"/>
        </w:rPr>
        <w:t>national</w:t>
      </w:r>
      <w:r w:rsidR="00F412A0" w:rsidRPr="00AA566D">
        <w:rPr>
          <w:rFonts w:asciiTheme="majorHAnsi" w:hAnsiTheme="majorHAnsi" w:cs="Times New Roman"/>
          <w:sz w:val="24"/>
          <w:szCs w:val="24"/>
          <w:lang w:val="en-US"/>
        </w:rPr>
        <w:t xml:space="preserve"> teams on methodologies for </w:t>
      </w:r>
      <w:r w:rsidR="00764214" w:rsidRPr="00AA566D">
        <w:rPr>
          <w:rFonts w:asciiTheme="majorHAnsi" w:hAnsiTheme="majorHAnsi" w:cs="Times New Roman"/>
          <w:sz w:val="24"/>
          <w:szCs w:val="24"/>
          <w:lang w:val="en-US"/>
        </w:rPr>
        <w:t>analyzing</w:t>
      </w:r>
      <w:r w:rsidR="00F412A0" w:rsidRPr="00AA566D">
        <w:rPr>
          <w:rFonts w:asciiTheme="majorHAnsi" w:hAnsiTheme="majorHAnsi" w:cs="Times New Roman"/>
          <w:sz w:val="24"/>
          <w:szCs w:val="24"/>
          <w:lang w:val="en-US"/>
        </w:rPr>
        <w:t xml:space="preserve"> the relevance of th</w:t>
      </w:r>
      <w:r>
        <w:rPr>
          <w:rFonts w:asciiTheme="majorHAnsi" w:hAnsiTheme="majorHAnsi" w:cs="Times New Roman"/>
          <w:sz w:val="24"/>
          <w:szCs w:val="24"/>
          <w:lang w:val="en-US"/>
        </w:rPr>
        <w:t>e education and training system;</w:t>
      </w:r>
      <w:r w:rsidR="00F412A0" w:rsidRPr="00AA566D">
        <w:rPr>
          <w:rFonts w:asciiTheme="majorHAnsi" w:hAnsiTheme="majorHAnsi" w:cs="Times New Roman"/>
          <w:sz w:val="24"/>
          <w:szCs w:val="24"/>
          <w:lang w:val="en-US"/>
        </w:rPr>
        <w:t xml:space="preserve"> </w:t>
      </w:r>
    </w:p>
    <w:p w14:paraId="776034D9" w14:textId="239404B5" w:rsidR="00C169A6" w:rsidRPr="00AA566D" w:rsidRDefault="001B0035" w:rsidP="00C169A6">
      <w:pPr>
        <w:pStyle w:val="ListParagraph"/>
        <w:numPr>
          <w:ilvl w:val="0"/>
          <w:numId w:val="24"/>
        </w:num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f</w:t>
      </w:r>
      <w:r w:rsidR="00F412A0" w:rsidRPr="00AA566D">
        <w:rPr>
          <w:rFonts w:asciiTheme="majorHAnsi" w:hAnsiTheme="majorHAnsi" w:cs="Times New Roman"/>
          <w:sz w:val="24"/>
          <w:szCs w:val="24"/>
          <w:lang w:val="en-US"/>
        </w:rPr>
        <w:t>inalize the methodological approach/tools (questionnaire, country report template, etc.)</w:t>
      </w:r>
      <w:r>
        <w:rPr>
          <w:rFonts w:asciiTheme="majorHAnsi" w:hAnsiTheme="majorHAnsi" w:cs="Times New Roman"/>
          <w:sz w:val="24"/>
          <w:szCs w:val="24"/>
          <w:lang w:val="en-US"/>
        </w:rPr>
        <w:t>;</w:t>
      </w:r>
      <w:r w:rsidR="00F412A0" w:rsidRPr="00AA566D">
        <w:rPr>
          <w:rFonts w:asciiTheme="majorHAnsi" w:hAnsiTheme="majorHAnsi" w:cs="Times New Roman"/>
          <w:sz w:val="24"/>
          <w:szCs w:val="24"/>
          <w:lang w:val="en-US"/>
        </w:rPr>
        <w:t xml:space="preserve"> and </w:t>
      </w:r>
    </w:p>
    <w:p w14:paraId="06AB53BA" w14:textId="5575827E" w:rsidR="00D2587D" w:rsidRPr="00AA566D" w:rsidRDefault="001B0035" w:rsidP="00C169A6">
      <w:pPr>
        <w:pStyle w:val="ListParagraph"/>
        <w:numPr>
          <w:ilvl w:val="0"/>
          <w:numId w:val="24"/>
        </w:num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e</w:t>
      </w:r>
      <w:r w:rsidR="00F412A0" w:rsidRPr="00AA566D">
        <w:rPr>
          <w:rFonts w:asciiTheme="majorHAnsi" w:hAnsiTheme="majorHAnsi" w:cs="Times New Roman"/>
          <w:sz w:val="24"/>
          <w:szCs w:val="24"/>
          <w:lang w:val="en-US"/>
        </w:rPr>
        <w:t>nsure a shared understanding of the initiative's objectives by all country teams.</w:t>
      </w:r>
    </w:p>
    <w:p w14:paraId="3C9C9BC6" w14:textId="59EEDF1E" w:rsidR="00D2587D" w:rsidRDefault="00D2587D" w:rsidP="00D2587D">
      <w:pPr>
        <w:spacing w:after="0" w:line="240" w:lineRule="auto"/>
        <w:jc w:val="both"/>
        <w:rPr>
          <w:rFonts w:asciiTheme="majorHAnsi" w:hAnsiTheme="majorHAnsi" w:cs="Times New Roman"/>
          <w:sz w:val="24"/>
          <w:szCs w:val="24"/>
          <w:lang w:val="en-US"/>
        </w:rPr>
      </w:pPr>
    </w:p>
    <w:p w14:paraId="3BF256DE" w14:textId="77777777" w:rsidR="001B0035" w:rsidRPr="002C0BC3" w:rsidRDefault="001B0035" w:rsidP="00D2587D">
      <w:pPr>
        <w:spacing w:after="0" w:line="240" w:lineRule="auto"/>
        <w:jc w:val="both"/>
        <w:rPr>
          <w:rFonts w:asciiTheme="majorHAnsi" w:hAnsiTheme="majorHAnsi" w:cs="Times New Roman"/>
          <w:sz w:val="24"/>
          <w:szCs w:val="24"/>
          <w:lang w:val="en-US"/>
        </w:rPr>
      </w:pPr>
    </w:p>
    <w:p w14:paraId="34FAFE83" w14:textId="018A3AAD" w:rsidR="00C7451F" w:rsidRPr="002C0BC3" w:rsidRDefault="00C7451F" w:rsidP="002C0BC3">
      <w:pPr>
        <w:pStyle w:val="ListParagraph"/>
        <w:numPr>
          <w:ilvl w:val="1"/>
          <w:numId w:val="13"/>
        </w:numPr>
        <w:tabs>
          <w:tab w:val="left" w:pos="709"/>
        </w:tabs>
        <w:spacing w:after="0" w:line="240" w:lineRule="auto"/>
        <w:ind w:left="709" w:hanging="709"/>
        <w:jc w:val="both"/>
        <w:rPr>
          <w:rFonts w:asciiTheme="majorHAnsi" w:hAnsiTheme="majorHAnsi" w:cs="Times New Roman"/>
          <w:color w:val="2E74B5" w:themeColor="accent1" w:themeShade="BF"/>
          <w:sz w:val="24"/>
          <w:szCs w:val="24"/>
          <w:u w:val="single"/>
          <w:lang w:val="en-US"/>
        </w:rPr>
      </w:pPr>
      <w:r w:rsidRPr="002C0BC3">
        <w:rPr>
          <w:rFonts w:asciiTheme="majorHAnsi" w:hAnsiTheme="majorHAnsi" w:cs="Times New Roman"/>
          <w:color w:val="2E74B5" w:themeColor="accent1" w:themeShade="BF"/>
          <w:sz w:val="24"/>
          <w:szCs w:val="24"/>
          <w:u w:val="single"/>
          <w:lang w:val="en-US"/>
        </w:rPr>
        <w:t>Elaboration of a series of national studies on the relevance of education and training system</w:t>
      </w:r>
      <w:r w:rsidR="00C169A6" w:rsidRPr="002C0BC3">
        <w:rPr>
          <w:rFonts w:asciiTheme="majorHAnsi" w:hAnsiTheme="majorHAnsi" w:cs="Times New Roman"/>
          <w:color w:val="2E74B5" w:themeColor="accent1" w:themeShade="BF"/>
          <w:sz w:val="24"/>
          <w:szCs w:val="24"/>
          <w:u w:val="single"/>
          <w:lang w:val="en-US"/>
        </w:rPr>
        <w:t>s</w:t>
      </w:r>
      <w:r w:rsidRPr="002C0BC3">
        <w:rPr>
          <w:rFonts w:asciiTheme="majorHAnsi" w:hAnsiTheme="majorHAnsi" w:cs="Times New Roman"/>
          <w:color w:val="2E74B5" w:themeColor="accent1" w:themeShade="BF"/>
          <w:sz w:val="24"/>
          <w:szCs w:val="24"/>
          <w:u w:val="single"/>
          <w:lang w:val="en-US"/>
        </w:rPr>
        <w:t>;</w:t>
      </w:r>
    </w:p>
    <w:p w14:paraId="271CA7C7" w14:textId="77777777" w:rsidR="00C169A6" w:rsidRPr="00AA566D" w:rsidRDefault="00C169A6" w:rsidP="00D2587D">
      <w:pPr>
        <w:spacing w:after="0" w:line="240" w:lineRule="auto"/>
        <w:jc w:val="both"/>
        <w:rPr>
          <w:rFonts w:asciiTheme="majorHAnsi" w:hAnsiTheme="majorHAnsi" w:cs="Times New Roman"/>
          <w:sz w:val="24"/>
          <w:szCs w:val="24"/>
          <w:lang w:val="en-US"/>
        </w:rPr>
      </w:pPr>
    </w:p>
    <w:p w14:paraId="1C02ADF3" w14:textId="57B2DEDA" w:rsidR="002628B4" w:rsidRPr="00AA566D" w:rsidRDefault="00764214"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Each</w:t>
      </w:r>
      <w:r w:rsidR="00F6641C" w:rsidRPr="00AA566D">
        <w:rPr>
          <w:rFonts w:asciiTheme="majorHAnsi" w:hAnsiTheme="majorHAnsi" w:cs="Times New Roman"/>
          <w:sz w:val="24"/>
          <w:szCs w:val="24"/>
          <w:lang w:val="en-US"/>
        </w:rPr>
        <w:t xml:space="preserve"> national</w:t>
      </w:r>
      <w:r w:rsidRPr="00AA566D">
        <w:rPr>
          <w:rFonts w:asciiTheme="majorHAnsi" w:hAnsiTheme="majorHAnsi" w:cs="Times New Roman"/>
          <w:sz w:val="24"/>
          <w:szCs w:val="24"/>
          <w:lang w:val="en-US"/>
        </w:rPr>
        <w:t xml:space="preserve"> team will be responsible for conducting a study on the relevance of their education and training system. The country studies will be carried out in light of the methodolog</w:t>
      </w:r>
      <w:r w:rsidR="00F6641C" w:rsidRPr="00AA566D">
        <w:rPr>
          <w:rFonts w:asciiTheme="majorHAnsi" w:hAnsiTheme="majorHAnsi" w:cs="Times New Roman"/>
          <w:sz w:val="24"/>
          <w:szCs w:val="24"/>
          <w:lang w:val="en-US"/>
        </w:rPr>
        <w:t>ies</w:t>
      </w:r>
      <w:r w:rsidRPr="00AA566D">
        <w:rPr>
          <w:rFonts w:asciiTheme="majorHAnsi" w:hAnsiTheme="majorHAnsi" w:cs="Times New Roman"/>
          <w:sz w:val="24"/>
          <w:szCs w:val="24"/>
          <w:lang w:val="en-US"/>
        </w:rPr>
        <w:t xml:space="preserve"> and tools adopted during the regional workshop. This will ensure the relevance a</w:t>
      </w:r>
      <w:r w:rsidR="001B0035">
        <w:rPr>
          <w:rFonts w:asciiTheme="majorHAnsi" w:hAnsiTheme="majorHAnsi" w:cs="Times New Roman"/>
          <w:sz w:val="24"/>
          <w:szCs w:val="24"/>
          <w:lang w:val="en-US"/>
        </w:rPr>
        <w:t>nd comparability of results</w:t>
      </w:r>
      <w:r w:rsidRPr="00AA566D">
        <w:rPr>
          <w:rFonts w:asciiTheme="majorHAnsi" w:hAnsiTheme="majorHAnsi" w:cs="Times New Roman"/>
          <w:sz w:val="24"/>
          <w:szCs w:val="24"/>
          <w:lang w:val="en-US"/>
        </w:rPr>
        <w:t xml:space="preserve"> in the </w:t>
      </w:r>
      <w:r w:rsidR="00F6641C" w:rsidRPr="00AA566D">
        <w:rPr>
          <w:rFonts w:asciiTheme="majorHAnsi" w:hAnsiTheme="majorHAnsi" w:cs="Times New Roman"/>
          <w:sz w:val="24"/>
          <w:szCs w:val="24"/>
          <w:lang w:val="en-US"/>
        </w:rPr>
        <w:t>selected</w:t>
      </w:r>
      <w:r w:rsidRPr="00AA566D">
        <w:rPr>
          <w:rFonts w:asciiTheme="majorHAnsi" w:hAnsiTheme="majorHAnsi" w:cs="Times New Roman"/>
          <w:sz w:val="24"/>
          <w:szCs w:val="24"/>
          <w:lang w:val="en-US"/>
        </w:rPr>
        <w:t xml:space="preserve"> countries.  </w:t>
      </w:r>
    </w:p>
    <w:p w14:paraId="545B16AB" w14:textId="617E999A" w:rsidR="00F33FBB" w:rsidRPr="00AA566D" w:rsidRDefault="00352253"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lastRenderedPageBreak/>
        <w:t>The methodology will emphasize</w:t>
      </w:r>
      <w:r w:rsidR="00F6641C" w:rsidRPr="00AA566D">
        <w:rPr>
          <w:rFonts w:asciiTheme="majorHAnsi" w:hAnsiTheme="majorHAnsi" w:cs="Times New Roman"/>
          <w:sz w:val="24"/>
          <w:szCs w:val="24"/>
          <w:lang w:val="en-US"/>
        </w:rPr>
        <w:t xml:space="preserve"> the necessity to </w:t>
      </w:r>
      <w:r w:rsidR="00764214" w:rsidRPr="00AA566D">
        <w:rPr>
          <w:rFonts w:asciiTheme="majorHAnsi" w:hAnsiTheme="majorHAnsi" w:cs="Times New Roman"/>
          <w:sz w:val="24"/>
          <w:szCs w:val="24"/>
          <w:lang w:val="en-US"/>
        </w:rPr>
        <w:t>combin</w:t>
      </w:r>
      <w:r w:rsidR="00F6641C" w:rsidRPr="00AA566D">
        <w:rPr>
          <w:rFonts w:asciiTheme="majorHAnsi" w:hAnsiTheme="majorHAnsi" w:cs="Times New Roman"/>
          <w:sz w:val="24"/>
          <w:szCs w:val="24"/>
          <w:lang w:val="en-US"/>
        </w:rPr>
        <w:t xml:space="preserve">e </w:t>
      </w:r>
      <w:r w:rsidR="00764214" w:rsidRPr="00AA566D">
        <w:rPr>
          <w:rFonts w:asciiTheme="majorHAnsi" w:hAnsiTheme="majorHAnsi" w:cs="Times New Roman"/>
          <w:sz w:val="24"/>
          <w:szCs w:val="24"/>
          <w:lang w:val="en-US"/>
        </w:rPr>
        <w:t>quantitative analysis and documentary review with interviews and/or questionnaires to gather opinions from a variety of stakeholders, including policy makers, researchers, tra</w:t>
      </w:r>
      <w:r w:rsidR="001B0035">
        <w:rPr>
          <w:rFonts w:asciiTheme="majorHAnsi" w:hAnsiTheme="majorHAnsi" w:cs="Times New Roman"/>
          <w:sz w:val="24"/>
          <w:szCs w:val="24"/>
          <w:lang w:val="en-US"/>
        </w:rPr>
        <w:t xml:space="preserve">ining organizations, employers', </w:t>
      </w:r>
      <w:r w:rsidR="00764214" w:rsidRPr="00AA566D">
        <w:rPr>
          <w:rFonts w:asciiTheme="majorHAnsi" w:hAnsiTheme="majorHAnsi" w:cs="Times New Roman"/>
          <w:sz w:val="24"/>
          <w:szCs w:val="24"/>
          <w:lang w:val="en-US"/>
        </w:rPr>
        <w:t>workers' organizations</w:t>
      </w:r>
      <w:r w:rsidR="001B0035">
        <w:rPr>
          <w:rFonts w:asciiTheme="majorHAnsi" w:hAnsiTheme="majorHAnsi" w:cs="Times New Roman"/>
          <w:sz w:val="24"/>
          <w:szCs w:val="24"/>
          <w:lang w:val="en-US"/>
        </w:rPr>
        <w:t xml:space="preserve"> and graduates</w:t>
      </w:r>
      <w:r w:rsidR="00764214" w:rsidRPr="00AA566D">
        <w:rPr>
          <w:rFonts w:asciiTheme="majorHAnsi" w:hAnsiTheme="majorHAnsi" w:cs="Times New Roman"/>
          <w:sz w:val="24"/>
          <w:szCs w:val="24"/>
          <w:lang w:val="en-US"/>
        </w:rPr>
        <w:t xml:space="preserve">. </w:t>
      </w:r>
    </w:p>
    <w:p w14:paraId="5D6D95A0" w14:textId="77777777" w:rsidR="00D2587D" w:rsidRPr="00AA566D" w:rsidRDefault="00D2587D" w:rsidP="00D2587D">
      <w:pPr>
        <w:spacing w:after="0" w:line="240" w:lineRule="auto"/>
        <w:jc w:val="both"/>
        <w:rPr>
          <w:rFonts w:asciiTheme="majorHAnsi" w:hAnsiTheme="majorHAnsi" w:cs="Times New Roman"/>
          <w:sz w:val="24"/>
          <w:szCs w:val="24"/>
          <w:lang w:val="en-US"/>
        </w:rPr>
      </w:pPr>
    </w:p>
    <w:p w14:paraId="45817E07" w14:textId="09835B1C" w:rsidR="00764214" w:rsidRPr="00AA566D" w:rsidRDefault="001B0035" w:rsidP="00D2587D">
      <w:p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Next, a</w:t>
      </w:r>
      <w:r w:rsidR="00764214" w:rsidRPr="00AA566D">
        <w:rPr>
          <w:rFonts w:asciiTheme="majorHAnsi" w:hAnsiTheme="majorHAnsi" w:cs="Times New Roman"/>
          <w:sz w:val="24"/>
          <w:szCs w:val="24"/>
          <w:lang w:val="en-US"/>
        </w:rPr>
        <w:t xml:space="preserve"> national workshop for the finalization of the </w:t>
      </w:r>
      <w:r>
        <w:rPr>
          <w:rFonts w:asciiTheme="majorHAnsi" w:hAnsiTheme="majorHAnsi" w:cs="Times New Roman"/>
          <w:sz w:val="24"/>
          <w:szCs w:val="24"/>
          <w:lang w:val="en-US"/>
        </w:rPr>
        <w:t xml:space="preserve">national </w:t>
      </w:r>
      <w:r w:rsidR="00764214" w:rsidRPr="00AA566D">
        <w:rPr>
          <w:rFonts w:asciiTheme="majorHAnsi" w:hAnsiTheme="majorHAnsi" w:cs="Times New Roman"/>
          <w:sz w:val="24"/>
          <w:szCs w:val="24"/>
          <w:lang w:val="en-US"/>
        </w:rPr>
        <w:t>report</w:t>
      </w:r>
      <w:r>
        <w:rPr>
          <w:rFonts w:asciiTheme="majorHAnsi" w:hAnsiTheme="majorHAnsi" w:cs="Times New Roman"/>
          <w:sz w:val="24"/>
          <w:szCs w:val="24"/>
          <w:lang w:val="en-US"/>
        </w:rPr>
        <w:t>s</w:t>
      </w:r>
      <w:r w:rsidR="00764214" w:rsidRPr="00AA566D">
        <w:rPr>
          <w:rFonts w:asciiTheme="majorHAnsi" w:hAnsiTheme="majorHAnsi" w:cs="Times New Roman"/>
          <w:sz w:val="24"/>
          <w:szCs w:val="24"/>
          <w:lang w:val="en-US"/>
        </w:rPr>
        <w:t xml:space="preserve"> will be organized</w:t>
      </w:r>
      <w:r w:rsidR="00F33FBB" w:rsidRPr="00AA566D">
        <w:rPr>
          <w:rFonts w:asciiTheme="majorHAnsi" w:hAnsiTheme="majorHAnsi" w:cs="Times New Roman"/>
          <w:sz w:val="24"/>
          <w:szCs w:val="24"/>
          <w:lang w:val="en-US"/>
        </w:rPr>
        <w:t xml:space="preserve">. This will be an opportunity to share the preliminary results with all stakeholders and to gather the necessary comments and inputs for the finalization of the country report. The </w:t>
      </w:r>
      <w:r w:rsidR="005448FE" w:rsidRPr="00AA566D">
        <w:rPr>
          <w:rFonts w:asciiTheme="majorHAnsi" w:hAnsiTheme="majorHAnsi" w:cs="Times New Roman"/>
          <w:sz w:val="24"/>
          <w:szCs w:val="24"/>
          <w:lang w:val="en-US"/>
        </w:rPr>
        <w:t>national</w:t>
      </w:r>
      <w:r w:rsidR="00F33FBB" w:rsidRPr="00AA566D">
        <w:rPr>
          <w:rFonts w:asciiTheme="majorHAnsi" w:hAnsiTheme="majorHAnsi" w:cs="Times New Roman"/>
          <w:sz w:val="24"/>
          <w:szCs w:val="24"/>
          <w:lang w:val="en-US"/>
        </w:rPr>
        <w:t xml:space="preserve"> team, when finalizing the country report, will also take into consideration the </w:t>
      </w:r>
      <w:r w:rsidR="00F54D8C" w:rsidRPr="00AA566D">
        <w:rPr>
          <w:rFonts w:asciiTheme="majorHAnsi" w:hAnsiTheme="majorHAnsi" w:cs="Times New Roman"/>
          <w:sz w:val="24"/>
          <w:szCs w:val="24"/>
          <w:lang w:val="en-US"/>
        </w:rPr>
        <w:t xml:space="preserve">recommendations for </w:t>
      </w:r>
      <w:r w:rsidR="00F33FBB" w:rsidRPr="00AA566D">
        <w:rPr>
          <w:rFonts w:asciiTheme="majorHAnsi" w:hAnsiTheme="majorHAnsi" w:cs="Times New Roman"/>
          <w:sz w:val="24"/>
          <w:szCs w:val="24"/>
          <w:lang w:val="en-US"/>
        </w:rPr>
        <w:t>improv</w:t>
      </w:r>
      <w:r w:rsidR="00CD28BE" w:rsidRPr="00AA566D">
        <w:rPr>
          <w:rFonts w:asciiTheme="majorHAnsi" w:hAnsiTheme="majorHAnsi" w:cs="Times New Roman"/>
          <w:sz w:val="24"/>
          <w:szCs w:val="24"/>
          <w:lang w:val="en-US"/>
        </w:rPr>
        <w:t xml:space="preserve">ement provided by the </w:t>
      </w:r>
      <w:r w:rsidR="005448FE" w:rsidRPr="00AA566D">
        <w:rPr>
          <w:rFonts w:asciiTheme="majorHAnsi" w:hAnsiTheme="majorHAnsi" w:cs="Times New Roman"/>
          <w:sz w:val="24"/>
          <w:szCs w:val="24"/>
          <w:lang w:val="en-US"/>
        </w:rPr>
        <w:t>regional</w:t>
      </w:r>
      <w:r w:rsidR="00F33FBB" w:rsidRPr="00AA566D">
        <w:rPr>
          <w:rFonts w:asciiTheme="majorHAnsi" w:hAnsiTheme="majorHAnsi" w:cs="Times New Roman"/>
          <w:sz w:val="24"/>
          <w:szCs w:val="24"/>
          <w:lang w:val="en-US"/>
        </w:rPr>
        <w:t xml:space="preserve"> taskforce.</w:t>
      </w:r>
    </w:p>
    <w:p w14:paraId="3D7DA361" w14:textId="77777777" w:rsidR="00D2587D" w:rsidRPr="00AA566D" w:rsidRDefault="00D2587D" w:rsidP="00D2587D">
      <w:pPr>
        <w:spacing w:after="0" w:line="240" w:lineRule="auto"/>
        <w:jc w:val="both"/>
        <w:rPr>
          <w:rFonts w:asciiTheme="majorHAnsi" w:hAnsiTheme="majorHAnsi" w:cs="Times New Roman"/>
          <w:sz w:val="24"/>
          <w:szCs w:val="24"/>
          <w:lang w:val="en-US"/>
        </w:rPr>
      </w:pPr>
    </w:p>
    <w:p w14:paraId="13CCBF91" w14:textId="2AE8245F" w:rsidR="00B371E5" w:rsidRPr="001B0035" w:rsidRDefault="001D59F5" w:rsidP="001B0035">
      <w:pPr>
        <w:pStyle w:val="ListParagraph"/>
        <w:numPr>
          <w:ilvl w:val="1"/>
          <w:numId w:val="13"/>
        </w:numPr>
        <w:tabs>
          <w:tab w:val="left" w:pos="709"/>
        </w:tabs>
        <w:spacing w:after="0" w:line="240" w:lineRule="auto"/>
        <w:ind w:left="709" w:hanging="709"/>
        <w:jc w:val="both"/>
        <w:rPr>
          <w:rFonts w:asciiTheme="majorHAnsi" w:hAnsiTheme="majorHAnsi" w:cs="Times New Roman"/>
          <w:color w:val="2E74B5" w:themeColor="accent1" w:themeShade="BF"/>
          <w:sz w:val="24"/>
          <w:szCs w:val="24"/>
          <w:u w:val="single"/>
          <w:lang w:val="en-US"/>
        </w:rPr>
      </w:pPr>
      <w:r w:rsidRPr="001B0035">
        <w:rPr>
          <w:rFonts w:asciiTheme="majorHAnsi" w:hAnsiTheme="majorHAnsi" w:cs="Times New Roman"/>
          <w:color w:val="2E74B5" w:themeColor="accent1" w:themeShade="BF"/>
          <w:sz w:val="24"/>
          <w:szCs w:val="24"/>
          <w:u w:val="single"/>
          <w:lang w:val="en-US"/>
        </w:rPr>
        <w:t xml:space="preserve">Organization of a regional workshop </w:t>
      </w:r>
      <w:r w:rsidR="001B0035">
        <w:rPr>
          <w:rFonts w:asciiTheme="majorHAnsi" w:hAnsiTheme="majorHAnsi" w:cs="Times New Roman"/>
          <w:color w:val="2E74B5" w:themeColor="accent1" w:themeShade="BF"/>
          <w:sz w:val="24"/>
          <w:szCs w:val="24"/>
          <w:u w:val="single"/>
          <w:lang w:val="en-US"/>
        </w:rPr>
        <w:t>to share</w:t>
      </w:r>
      <w:r w:rsidRPr="001B0035">
        <w:rPr>
          <w:rFonts w:asciiTheme="majorHAnsi" w:hAnsiTheme="majorHAnsi" w:cs="Times New Roman"/>
          <w:color w:val="2E74B5" w:themeColor="accent1" w:themeShade="BF"/>
          <w:sz w:val="24"/>
          <w:szCs w:val="24"/>
          <w:u w:val="single"/>
          <w:lang w:val="en-US"/>
        </w:rPr>
        <w:t xml:space="preserve"> results of national </w:t>
      </w:r>
      <w:r w:rsidR="005448FE" w:rsidRPr="001B0035">
        <w:rPr>
          <w:rFonts w:asciiTheme="majorHAnsi" w:hAnsiTheme="majorHAnsi" w:cs="Times New Roman"/>
          <w:color w:val="2E74B5" w:themeColor="accent1" w:themeShade="BF"/>
          <w:sz w:val="24"/>
          <w:szCs w:val="24"/>
          <w:u w:val="single"/>
          <w:lang w:val="en-US"/>
        </w:rPr>
        <w:t xml:space="preserve">and regional studies </w:t>
      </w:r>
    </w:p>
    <w:p w14:paraId="30DDDC2B" w14:textId="77777777" w:rsidR="001D59F5" w:rsidRPr="00AA566D" w:rsidRDefault="001D59F5" w:rsidP="00D2587D">
      <w:pPr>
        <w:pStyle w:val="ListParagraph"/>
        <w:tabs>
          <w:tab w:val="left" w:pos="426"/>
        </w:tabs>
        <w:spacing w:after="0" w:line="240" w:lineRule="auto"/>
        <w:ind w:left="360"/>
        <w:jc w:val="both"/>
        <w:rPr>
          <w:rFonts w:asciiTheme="majorHAnsi" w:hAnsiTheme="majorHAnsi" w:cs="Times New Roman"/>
          <w:b/>
          <w:color w:val="2E74B5" w:themeColor="accent1" w:themeShade="BF"/>
          <w:sz w:val="24"/>
          <w:szCs w:val="24"/>
          <w:u w:val="single"/>
          <w:lang w:val="en-US"/>
        </w:rPr>
      </w:pPr>
    </w:p>
    <w:p w14:paraId="4A5423D4" w14:textId="0F34D97E" w:rsidR="002628B4" w:rsidRPr="00AA566D" w:rsidRDefault="001B0035" w:rsidP="00D2587D">
      <w:p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T</w:t>
      </w:r>
      <w:r w:rsidRPr="00AA566D">
        <w:rPr>
          <w:rFonts w:asciiTheme="majorHAnsi" w:hAnsiTheme="majorHAnsi" w:cs="Times New Roman"/>
          <w:sz w:val="24"/>
          <w:szCs w:val="24"/>
          <w:lang w:val="en-US"/>
        </w:rPr>
        <w:t xml:space="preserve">he RCG4-WCA </w:t>
      </w:r>
      <w:r>
        <w:rPr>
          <w:rFonts w:asciiTheme="majorHAnsi" w:hAnsiTheme="majorHAnsi" w:cs="Times New Roman"/>
          <w:sz w:val="24"/>
          <w:szCs w:val="24"/>
          <w:lang w:val="en-US"/>
        </w:rPr>
        <w:t>taskforce will</w:t>
      </w:r>
      <w:r w:rsidRPr="00AA566D">
        <w:rPr>
          <w:rFonts w:asciiTheme="majorHAnsi" w:hAnsiTheme="majorHAnsi" w:cs="Times New Roman"/>
          <w:sz w:val="24"/>
          <w:szCs w:val="24"/>
          <w:lang w:val="en-US"/>
        </w:rPr>
        <w:t xml:space="preserve"> capitalize on the country studies as part of a meta-analysis to produce a first draft of the regional report on the relevance of education and training systems in West and Central African countries. </w:t>
      </w:r>
      <w:r w:rsidR="002628B4" w:rsidRPr="00AA566D">
        <w:rPr>
          <w:rFonts w:asciiTheme="majorHAnsi" w:hAnsiTheme="majorHAnsi" w:cs="Times New Roman"/>
          <w:sz w:val="24"/>
          <w:szCs w:val="24"/>
          <w:lang w:val="en-US"/>
        </w:rPr>
        <w:t xml:space="preserve">A regional workshop to finalize and share the results of the </w:t>
      </w:r>
      <w:r>
        <w:rPr>
          <w:rFonts w:asciiTheme="majorHAnsi" w:hAnsiTheme="majorHAnsi" w:cs="Times New Roman"/>
          <w:sz w:val="24"/>
          <w:szCs w:val="24"/>
          <w:lang w:val="en-US"/>
        </w:rPr>
        <w:t xml:space="preserve">country and regional </w:t>
      </w:r>
      <w:r w:rsidR="002628B4" w:rsidRPr="00AA566D">
        <w:rPr>
          <w:rFonts w:asciiTheme="majorHAnsi" w:hAnsiTheme="majorHAnsi" w:cs="Times New Roman"/>
          <w:sz w:val="24"/>
          <w:szCs w:val="24"/>
          <w:lang w:val="en-US"/>
        </w:rPr>
        <w:t>exploratory analyses will</w:t>
      </w:r>
      <w:r>
        <w:rPr>
          <w:rFonts w:asciiTheme="majorHAnsi" w:hAnsiTheme="majorHAnsi" w:cs="Times New Roman"/>
          <w:sz w:val="24"/>
          <w:szCs w:val="24"/>
          <w:lang w:val="en-US"/>
        </w:rPr>
        <w:t xml:space="preserve"> then</w:t>
      </w:r>
      <w:r w:rsidR="002628B4" w:rsidRPr="00AA566D">
        <w:rPr>
          <w:rFonts w:asciiTheme="majorHAnsi" w:hAnsiTheme="majorHAnsi" w:cs="Times New Roman"/>
          <w:sz w:val="24"/>
          <w:szCs w:val="24"/>
          <w:lang w:val="en-US"/>
        </w:rPr>
        <w:t xml:space="preserve"> be organized. The workshop will bring together participants from different West and</w:t>
      </w:r>
      <w:r w:rsidR="005448FE" w:rsidRPr="00AA566D">
        <w:rPr>
          <w:rFonts w:asciiTheme="majorHAnsi" w:hAnsiTheme="majorHAnsi" w:cs="Times New Roman"/>
          <w:sz w:val="24"/>
          <w:szCs w:val="24"/>
          <w:lang w:val="en-US"/>
        </w:rPr>
        <w:t xml:space="preserve"> Central African countries. In addition to the national team</w:t>
      </w:r>
      <w:r>
        <w:rPr>
          <w:rFonts w:asciiTheme="majorHAnsi" w:hAnsiTheme="majorHAnsi" w:cs="Times New Roman"/>
          <w:sz w:val="24"/>
          <w:szCs w:val="24"/>
          <w:lang w:val="en-US"/>
        </w:rPr>
        <w:t>s</w:t>
      </w:r>
      <w:r w:rsidR="005448FE" w:rsidRPr="00AA566D">
        <w:rPr>
          <w:rFonts w:asciiTheme="majorHAnsi" w:hAnsiTheme="majorHAnsi" w:cs="Times New Roman"/>
          <w:sz w:val="24"/>
          <w:szCs w:val="24"/>
          <w:lang w:val="en-US"/>
        </w:rPr>
        <w:t>, one high-level decision-maker</w:t>
      </w:r>
      <w:r w:rsidR="002628B4" w:rsidRPr="00AA566D">
        <w:rPr>
          <w:rFonts w:asciiTheme="majorHAnsi" w:hAnsiTheme="majorHAnsi" w:cs="Times New Roman"/>
          <w:sz w:val="24"/>
          <w:szCs w:val="24"/>
          <w:lang w:val="en-US"/>
        </w:rPr>
        <w:t xml:space="preserve"> </w:t>
      </w:r>
      <w:r w:rsidR="00F54D8C" w:rsidRPr="00AA566D">
        <w:rPr>
          <w:rFonts w:asciiTheme="majorHAnsi" w:hAnsiTheme="majorHAnsi" w:cs="Times New Roman"/>
          <w:sz w:val="24"/>
          <w:szCs w:val="24"/>
          <w:lang w:val="en-US"/>
        </w:rPr>
        <w:t>(Permanent S</w:t>
      </w:r>
      <w:r w:rsidR="005448FE" w:rsidRPr="00AA566D">
        <w:rPr>
          <w:rFonts w:asciiTheme="majorHAnsi" w:hAnsiTheme="majorHAnsi" w:cs="Times New Roman"/>
          <w:sz w:val="24"/>
          <w:szCs w:val="24"/>
          <w:lang w:val="en-US"/>
        </w:rPr>
        <w:t>ecretary at least) will</w:t>
      </w:r>
      <w:r w:rsidR="002628B4" w:rsidRPr="00AA566D">
        <w:rPr>
          <w:rFonts w:asciiTheme="majorHAnsi" w:hAnsiTheme="majorHAnsi" w:cs="Times New Roman"/>
          <w:sz w:val="24"/>
          <w:szCs w:val="24"/>
          <w:lang w:val="en-US"/>
        </w:rPr>
        <w:t xml:space="preserve"> </w:t>
      </w:r>
      <w:r w:rsidR="005448FE" w:rsidRPr="00AA566D">
        <w:rPr>
          <w:rFonts w:asciiTheme="majorHAnsi" w:hAnsiTheme="majorHAnsi" w:cs="Times New Roman"/>
          <w:sz w:val="24"/>
          <w:szCs w:val="24"/>
          <w:lang w:val="en-US"/>
        </w:rPr>
        <w:t>be invited</w:t>
      </w:r>
      <w:r w:rsidR="002628B4" w:rsidRPr="00AA566D">
        <w:rPr>
          <w:rFonts w:asciiTheme="majorHAnsi" w:hAnsiTheme="majorHAnsi" w:cs="Times New Roman"/>
          <w:sz w:val="24"/>
          <w:szCs w:val="24"/>
          <w:lang w:val="en-US"/>
        </w:rPr>
        <w:t xml:space="preserve">. </w:t>
      </w:r>
    </w:p>
    <w:p w14:paraId="5DB87B4B" w14:textId="77777777" w:rsidR="00D2587D" w:rsidRPr="00AA566D" w:rsidRDefault="00D2587D" w:rsidP="00D2587D">
      <w:pPr>
        <w:spacing w:after="0" w:line="240" w:lineRule="auto"/>
        <w:jc w:val="both"/>
        <w:rPr>
          <w:rFonts w:asciiTheme="majorHAnsi" w:hAnsiTheme="majorHAnsi" w:cs="Times New Roman"/>
          <w:sz w:val="24"/>
          <w:szCs w:val="24"/>
          <w:lang w:val="en-US"/>
        </w:rPr>
      </w:pPr>
    </w:p>
    <w:p w14:paraId="31DFD72B" w14:textId="27FFD757" w:rsidR="00643CB3" w:rsidRPr="00AA566D" w:rsidRDefault="00F33FBB"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The regional workshop will be an opportunity for </w:t>
      </w:r>
      <w:r w:rsidR="005448FE" w:rsidRPr="00AA566D">
        <w:rPr>
          <w:rFonts w:asciiTheme="majorHAnsi" w:hAnsiTheme="majorHAnsi" w:cs="Times New Roman"/>
          <w:sz w:val="24"/>
          <w:szCs w:val="24"/>
          <w:lang w:val="en-US"/>
        </w:rPr>
        <w:t>national teams</w:t>
      </w:r>
      <w:r w:rsidRPr="00AA566D">
        <w:rPr>
          <w:rFonts w:asciiTheme="majorHAnsi" w:hAnsiTheme="majorHAnsi" w:cs="Times New Roman"/>
          <w:sz w:val="24"/>
          <w:szCs w:val="24"/>
          <w:lang w:val="en-US"/>
        </w:rPr>
        <w:t xml:space="preserve"> to share the main results achieved in the countries. </w:t>
      </w:r>
      <w:r w:rsidR="001B0035">
        <w:rPr>
          <w:rFonts w:asciiTheme="majorHAnsi" w:hAnsiTheme="majorHAnsi" w:cs="Times New Roman"/>
          <w:sz w:val="24"/>
          <w:szCs w:val="24"/>
          <w:lang w:val="en-US"/>
        </w:rPr>
        <w:t>The</w:t>
      </w:r>
      <w:r w:rsidRPr="00AA566D">
        <w:rPr>
          <w:rFonts w:asciiTheme="majorHAnsi" w:hAnsiTheme="majorHAnsi" w:cs="Times New Roman"/>
          <w:sz w:val="24"/>
          <w:szCs w:val="24"/>
          <w:lang w:val="en-US"/>
        </w:rPr>
        <w:t xml:space="preserve"> regional workshop will also be an opportunity not onl</w:t>
      </w:r>
      <w:r w:rsidR="001B0035">
        <w:rPr>
          <w:rFonts w:asciiTheme="majorHAnsi" w:hAnsiTheme="majorHAnsi" w:cs="Times New Roman"/>
          <w:sz w:val="24"/>
          <w:szCs w:val="24"/>
          <w:lang w:val="en-US"/>
        </w:rPr>
        <w:t>y to present the results of the regional</w:t>
      </w:r>
      <w:r w:rsidRPr="00AA566D">
        <w:rPr>
          <w:rFonts w:asciiTheme="majorHAnsi" w:hAnsiTheme="majorHAnsi" w:cs="Times New Roman"/>
          <w:sz w:val="24"/>
          <w:szCs w:val="24"/>
          <w:lang w:val="en-US"/>
        </w:rPr>
        <w:t xml:space="preserve"> analysis</w:t>
      </w:r>
      <w:r w:rsidR="00F54D8C" w:rsidRPr="00AA566D">
        <w:rPr>
          <w:rFonts w:asciiTheme="majorHAnsi" w:hAnsiTheme="majorHAnsi" w:cs="Times New Roman"/>
          <w:sz w:val="24"/>
          <w:szCs w:val="24"/>
          <w:lang w:val="en-US"/>
        </w:rPr>
        <w:t>,</w:t>
      </w:r>
      <w:r w:rsidRPr="00AA566D">
        <w:rPr>
          <w:rFonts w:asciiTheme="majorHAnsi" w:hAnsiTheme="majorHAnsi" w:cs="Times New Roman"/>
          <w:sz w:val="24"/>
          <w:szCs w:val="24"/>
          <w:lang w:val="en-US"/>
        </w:rPr>
        <w:t xml:space="preserve"> but also to receive the necessary inputs and amendments for the finalization of the </w:t>
      </w:r>
      <w:r w:rsidR="005448FE" w:rsidRPr="00AA566D">
        <w:rPr>
          <w:rFonts w:asciiTheme="majorHAnsi" w:hAnsiTheme="majorHAnsi" w:cs="Times New Roman"/>
          <w:sz w:val="24"/>
          <w:szCs w:val="24"/>
          <w:lang w:val="en-US"/>
        </w:rPr>
        <w:t xml:space="preserve">regional </w:t>
      </w:r>
      <w:r w:rsidRPr="00AA566D">
        <w:rPr>
          <w:rFonts w:asciiTheme="majorHAnsi" w:hAnsiTheme="majorHAnsi" w:cs="Times New Roman"/>
          <w:sz w:val="24"/>
          <w:szCs w:val="24"/>
          <w:lang w:val="en-US"/>
        </w:rPr>
        <w:t xml:space="preserve">report. </w:t>
      </w:r>
      <w:r w:rsidR="001B0035">
        <w:rPr>
          <w:rFonts w:asciiTheme="majorHAnsi" w:hAnsiTheme="majorHAnsi" w:cs="Times New Roman"/>
          <w:sz w:val="24"/>
          <w:szCs w:val="24"/>
          <w:lang w:val="en-US"/>
        </w:rPr>
        <w:t>H</w:t>
      </w:r>
      <w:r w:rsidR="005448FE" w:rsidRPr="00AA566D">
        <w:rPr>
          <w:rFonts w:asciiTheme="majorHAnsi" w:hAnsiTheme="majorHAnsi" w:cs="Times New Roman"/>
          <w:sz w:val="24"/>
          <w:szCs w:val="24"/>
          <w:lang w:val="en-US"/>
        </w:rPr>
        <w:t>igh</w:t>
      </w:r>
      <w:r w:rsidRPr="00AA566D">
        <w:rPr>
          <w:rFonts w:asciiTheme="majorHAnsi" w:hAnsiTheme="majorHAnsi" w:cs="Times New Roman"/>
          <w:sz w:val="24"/>
          <w:szCs w:val="24"/>
          <w:lang w:val="en-US"/>
        </w:rPr>
        <w:t xml:space="preserve">-level decision-makers </w:t>
      </w:r>
      <w:r w:rsidR="001B0035">
        <w:rPr>
          <w:rFonts w:asciiTheme="majorHAnsi" w:hAnsiTheme="majorHAnsi" w:cs="Times New Roman"/>
          <w:sz w:val="24"/>
          <w:szCs w:val="24"/>
          <w:lang w:val="en-US"/>
        </w:rPr>
        <w:t xml:space="preserve">will be involved </w:t>
      </w:r>
      <w:r w:rsidRPr="00AA566D">
        <w:rPr>
          <w:rFonts w:asciiTheme="majorHAnsi" w:hAnsiTheme="majorHAnsi" w:cs="Times New Roman"/>
          <w:sz w:val="24"/>
          <w:szCs w:val="24"/>
          <w:lang w:val="en-US"/>
        </w:rPr>
        <w:t xml:space="preserve">in order to share with them the main recommendations resulting from the country studies and from the regional study. </w:t>
      </w:r>
      <w:r w:rsidR="001B0035">
        <w:rPr>
          <w:rFonts w:asciiTheme="majorHAnsi" w:hAnsiTheme="majorHAnsi" w:cs="Times New Roman"/>
          <w:sz w:val="24"/>
          <w:szCs w:val="24"/>
          <w:lang w:val="en-US"/>
        </w:rPr>
        <w:t>Together, the workshop will be an occasion for the participants</w:t>
      </w:r>
      <w:r w:rsidRPr="00AA566D">
        <w:rPr>
          <w:rFonts w:asciiTheme="majorHAnsi" w:hAnsiTheme="majorHAnsi" w:cs="Times New Roman"/>
          <w:sz w:val="24"/>
          <w:szCs w:val="24"/>
          <w:lang w:val="en-US"/>
        </w:rPr>
        <w:t xml:space="preserve"> </w:t>
      </w:r>
      <w:r w:rsidR="001B0035">
        <w:rPr>
          <w:rFonts w:asciiTheme="majorHAnsi" w:hAnsiTheme="majorHAnsi" w:cs="Times New Roman"/>
          <w:sz w:val="24"/>
          <w:szCs w:val="24"/>
          <w:lang w:val="en-US"/>
        </w:rPr>
        <w:t xml:space="preserve">to </w:t>
      </w:r>
      <w:r w:rsidRPr="00AA566D">
        <w:rPr>
          <w:rFonts w:asciiTheme="majorHAnsi" w:hAnsiTheme="majorHAnsi" w:cs="Times New Roman"/>
          <w:sz w:val="24"/>
          <w:szCs w:val="24"/>
          <w:lang w:val="en-US"/>
        </w:rPr>
        <w:t>adopt</w:t>
      </w:r>
      <w:r w:rsidR="005448FE" w:rsidRPr="00AA566D">
        <w:rPr>
          <w:rFonts w:asciiTheme="majorHAnsi" w:hAnsiTheme="majorHAnsi" w:cs="Times New Roman"/>
          <w:sz w:val="24"/>
          <w:szCs w:val="24"/>
          <w:lang w:val="en-US"/>
        </w:rPr>
        <w:t xml:space="preserve"> a</w:t>
      </w:r>
      <w:r w:rsidRPr="00AA566D">
        <w:rPr>
          <w:rFonts w:asciiTheme="majorHAnsi" w:hAnsiTheme="majorHAnsi" w:cs="Times New Roman"/>
          <w:sz w:val="24"/>
          <w:szCs w:val="24"/>
          <w:lang w:val="en-US"/>
        </w:rPr>
        <w:t xml:space="preserve"> regional action plan to improve the relevance of education and training systems in West and Central African countries.</w:t>
      </w:r>
    </w:p>
    <w:p w14:paraId="4CEB7D95" w14:textId="77777777" w:rsidR="00844956" w:rsidRPr="00AA566D" w:rsidRDefault="00844956" w:rsidP="00D2587D">
      <w:pPr>
        <w:spacing w:after="0" w:line="240" w:lineRule="auto"/>
        <w:jc w:val="both"/>
        <w:rPr>
          <w:rFonts w:asciiTheme="majorHAnsi" w:hAnsiTheme="majorHAnsi" w:cs="Times New Roman"/>
          <w:sz w:val="24"/>
          <w:szCs w:val="24"/>
          <w:lang w:val="en-US"/>
        </w:rPr>
      </w:pPr>
    </w:p>
    <w:p w14:paraId="1DEA9BEA" w14:textId="1A177629" w:rsidR="009A2847" w:rsidRPr="00AA566D" w:rsidRDefault="009A2847" w:rsidP="001B0035">
      <w:pPr>
        <w:pStyle w:val="ListParagraph"/>
        <w:numPr>
          <w:ilvl w:val="1"/>
          <w:numId w:val="13"/>
        </w:numPr>
        <w:tabs>
          <w:tab w:val="left" w:pos="709"/>
        </w:tabs>
        <w:spacing w:after="0" w:line="240" w:lineRule="auto"/>
        <w:ind w:left="709" w:hanging="709"/>
        <w:jc w:val="both"/>
        <w:rPr>
          <w:rFonts w:asciiTheme="majorHAnsi" w:hAnsiTheme="majorHAnsi" w:cs="Times New Roman"/>
          <w:b/>
          <w:color w:val="2E74B5" w:themeColor="accent1" w:themeShade="BF"/>
          <w:sz w:val="24"/>
          <w:szCs w:val="24"/>
          <w:u w:val="single"/>
          <w:lang w:val="en-US"/>
        </w:rPr>
      </w:pPr>
      <w:r w:rsidRPr="00AA566D">
        <w:rPr>
          <w:rFonts w:asciiTheme="majorHAnsi" w:hAnsiTheme="majorHAnsi" w:cs="Times New Roman"/>
          <w:b/>
          <w:color w:val="2E74B5" w:themeColor="accent1" w:themeShade="BF"/>
          <w:sz w:val="24"/>
          <w:szCs w:val="24"/>
          <w:u w:val="single"/>
          <w:lang w:val="en-US"/>
        </w:rPr>
        <w:t>P</w:t>
      </w:r>
      <w:r w:rsidR="000E31CE" w:rsidRPr="00AA566D">
        <w:rPr>
          <w:rFonts w:asciiTheme="majorHAnsi" w:hAnsiTheme="majorHAnsi" w:cs="Times New Roman"/>
          <w:b/>
          <w:color w:val="2E74B5" w:themeColor="accent1" w:themeShade="BF"/>
          <w:sz w:val="24"/>
          <w:szCs w:val="24"/>
          <w:u w:val="single"/>
          <w:lang w:val="en-US"/>
        </w:rPr>
        <w:t>ublication and dissemination of the</w:t>
      </w:r>
      <w:r w:rsidRPr="00AA566D">
        <w:rPr>
          <w:rFonts w:asciiTheme="majorHAnsi" w:hAnsiTheme="majorHAnsi" w:cs="Times New Roman"/>
          <w:b/>
          <w:color w:val="2E74B5" w:themeColor="accent1" w:themeShade="BF"/>
          <w:sz w:val="24"/>
          <w:szCs w:val="24"/>
          <w:u w:val="single"/>
          <w:lang w:val="en-US"/>
        </w:rPr>
        <w:t xml:space="preserve"> regional report on the relevanc</w:t>
      </w:r>
      <w:r w:rsidR="00F54D8C" w:rsidRPr="00AA566D">
        <w:rPr>
          <w:rFonts w:asciiTheme="majorHAnsi" w:hAnsiTheme="majorHAnsi" w:cs="Times New Roman"/>
          <w:b/>
          <w:color w:val="2E74B5" w:themeColor="accent1" w:themeShade="BF"/>
          <w:sz w:val="24"/>
          <w:szCs w:val="24"/>
          <w:u w:val="single"/>
          <w:lang w:val="en-US"/>
        </w:rPr>
        <w:t>e of education and training in West and C</w:t>
      </w:r>
      <w:r w:rsidRPr="00AA566D">
        <w:rPr>
          <w:rFonts w:asciiTheme="majorHAnsi" w:hAnsiTheme="majorHAnsi" w:cs="Times New Roman"/>
          <w:b/>
          <w:color w:val="2E74B5" w:themeColor="accent1" w:themeShade="BF"/>
          <w:sz w:val="24"/>
          <w:szCs w:val="24"/>
          <w:u w:val="single"/>
          <w:lang w:val="en-US"/>
        </w:rPr>
        <w:t>entral Africa.</w:t>
      </w:r>
    </w:p>
    <w:p w14:paraId="3D87073C" w14:textId="77777777" w:rsidR="00D2587D" w:rsidRPr="00AA566D" w:rsidRDefault="00D2587D" w:rsidP="00D2587D">
      <w:pPr>
        <w:pStyle w:val="ListParagraph"/>
        <w:tabs>
          <w:tab w:val="left" w:pos="426"/>
        </w:tabs>
        <w:spacing w:after="0" w:line="240" w:lineRule="auto"/>
        <w:ind w:left="360"/>
        <w:jc w:val="both"/>
        <w:rPr>
          <w:rFonts w:asciiTheme="majorHAnsi" w:hAnsiTheme="majorHAnsi" w:cs="Times New Roman"/>
          <w:b/>
          <w:color w:val="2E74B5" w:themeColor="accent1" w:themeShade="BF"/>
          <w:sz w:val="24"/>
          <w:szCs w:val="24"/>
          <w:u w:val="single"/>
          <w:lang w:val="en-US"/>
        </w:rPr>
      </w:pPr>
    </w:p>
    <w:p w14:paraId="0E724266" w14:textId="400BC462" w:rsidR="00F51B51" w:rsidRPr="00AA566D" w:rsidRDefault="002628B4"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Following the regional workshop, the </w:t>
      </w:r>
      <w:r w:rsidR="005448FE" w:rsidRPr="00AA566D">
        <w:rPr>
          <w:rFonts w:asciiTheme="majorHAnsi" w:hAnsiTheme="majorHAnsi" w:cs="Times New Roman"/>
          <w:sz w:val="24"/>
          <w:szCs w:val="24"/>
          <w:lang w:val="en-US"/>
        </w:rPr>
        <w:t>regional</w:t>
      </w:r>
      <w:r w:rsidRPr="00AA566D">
        <w:rPr>
          <w:rFonts w:asciiTheme="majorHAnsi" w:hAnsiTheme="majorHAnsi" w:cs="Times New Roman"/>
          <w:sz w:val="24"/>
          <w:szCs w:val="24"/>
          <w:lang w:val="en-US"/>
        </w:rPr>
        <w:t xml:space="preserve"> taskforce will finalize the report. </w:t>
      </w:r>
      <w:r w:rsidR="00F51B51" w:rsidRPr="00AA566D">
        <w:rPr>
          <w:rFonts w:asciiTheme="majorHAnsi" w:hAnsiTheme="majorHAnsi" w:cs="Times New Roman"/>
          <w:sz w:val="24"/>
          <w:szCs w:val="24"/>
          <w:lang w:val="en-US"/>
        </w:rPr>
        <w:t>The regional report will provide an overview of the relevance of education and training systems in different countries and will make recommendations for strengthening the relevance of the ed</w:t>
      </w:r>
      <w:r w:rsidR="00F54D8C" w:rsidRPr="00AA566D">
        <w:rPr>
          <w:rFonts w:asciiTheme="majorHAnsi" w:hAnsiTheme="majorHAnsi" w:cs="Times New Roman"/>
          <w:sz w:val="24"/>
          <w:szCs w:val="24"/>
          <w:lang w:val="en-US"/>
        </w:rPr>
        <w:t>ucation and training system in West and C</w:t>
      </w:r>
      <w:r w:rsidR="00F51B51" w:rsidRPr="00AA566D">
        <w:rPr>
          <w:rFonts w:asciiTheme="majorHAnsi" w:hAnsiTheme="majorHAnsi" w:cs="Times New Roman"/>
          <w:sz w:val="24"/>
          <w:szCs w:val="24"/>
          <w:lang w:val="en-US"/>
        </w:rPr>
        <w:t>entral Africa</w:t>
      </w:r>
      <w:r w:rsidR="00F54D8C" w:rsidRPr="00AA566D">
        <w:rPr>
          <w:rFonts w:asciiTheme="majorHAnsi" w:hAnsiTheme="majorHAnsi" w:cs="Times New Roman"/>
          <w:sz w:val="24"/>
          <w:szCs w:val="24"/>
          <w:lang w:val="en-US"/>
        </w:rPr>
        <w:t>n</w:t>
      </w:r>
      <w:r w:rsidR="00F51B51" w:rsidRPr="00AA566D">
        <w:rPr>
          <w:rFonts w:asciiTheme="majorHAnsi" w:hAnsiTheme="majorHAnsi" w:cs="Times New Roman"/>
          <w:sz w:val="24"/>
          <w:szCs w:val="24"/>
          <w:lang w:val="en-US"/>
        </w:rPr>
        <w:t xml:space="preserve"> countries. It aims at sharing experiences, good practices</w:t>
      </w:r>
      <w:r w:rsidR="00F54D8C" w:rsidRPr="00AA566D">
        <w:rPr>
          <w:rFonts w:asciiTheme="majorHAnsi" w:hAnsiTheme="majorHAnsi" w:cs="Times New Roman"/>
          <w:sz w:val="24"/>
          <w:szCs w:val="24"/>
          <w:lang w:val="en-US"/>
        </w:rPr>
        <w:t>,</w:t>
      </w:r>
      <w:r w:rsidR="00F51B51" w:rsidRPr="00AA566D">
        <w:rPr>
          <w:rFonts w:asciiTheme="majorHAnsi" w:hAnsiTheme="majorHAnsi" w:cs="Times New Roman"/>
          <w:sz w:val="24"/>
          <w:szCs w:val="24"/>
          <w:lang w:val="en-US"/>
        </w:rPr>
        <w:t xml:space="preserve"> or emerging ones</w:t>
      </w:r>
      <w:r w:rsidR="00F54D8C" w:rsidRPr="00AA566D">
        <w:rPr>
          <w:rFonts w:asciiTheme="majorHAnsi" w:hAnsiTheme="majorHAnsi" w:cs="Times New Roman"/>
          <w:sz w:val="24"/>
          <w:szCs w:val="24"/>
          <w:lang w:val="en-US"/>
        </w:rPr>
        <w:t>,</w:t>
      </w:r>
      <w:r w:rsidR="00F51B51" w:rsidRPr="00AA566D">
        <w:rPr>
          <w:rFonts w:asciiTheme="majorHAnsi" w:hAnsiTheme="majorHAnsi" w:cs="Times New Roman"/>
          <w:sz w:val="24"/>
          <w:szCs w:val="24"/>
          <w:lang w:val="en-US"/>
        </w:rPr>
        <w:t xml:space="preserve"> in different countries but also to draw on international experie</w:t>
      </w:r>
      <w:r w:rsidR="00F54D8C" w:rsidRPr="00AA566D">
        <w:rPr>
          <w:rFonts w:asciiTheme="majorHAnsi" w:hAnsiTheme="majorHAnsi" w:cs="Times New Roman"/>
          <w:sz w:val="24"/>
          <w:szCs w:val="24"/>
          <w:lang w:val="en-US"/>
        </w:rPr>
        <w:t>nce to inform policy dialogues i</w:t>
      </w:r>
      <w:r w:rsidR="00F51B51" w:rsidRPr="00AA566D">
        <w:rPr>
          <w:rFonts w:asciiTheme="majorHAnsi" w:hAnsiTheme="majorHAnsi" w:cs="Times New Roman"/>
          <w:sz w:val="24"/>
          <w:szCs w:val="24"/>
          <w:lang w:val="en-US"/>
        </w:rPr>
        <w:t xml:space="preserve">n the region that seek to reform and strengthen the relevance of </w:t>
      </w:r>
      <w:r w:rsidR="00A22147" w:rsidRPr="00AA566D">
        <w:rPr>
          <w:rFonts w:asciiTheme="majorHAnsi" w:hAnsiTheme="majorHAnsi" w:cs="Times New Roman"/>
          <w:sz w:val="24"/>
          <w:szCs w:val="24"/>
          <w:lang w:val="en-US"/>
        </w:rPr>
        <w:t>education and training</w:t>
      </w:r>
      <w:r w:rsidR="00F51B51" w:rsidRPr="00AA566D">
        <w:rPr>
          <w:rFonts w:asciiTheme="majorHAnsi" w:hAnsiTheme="majorHAnsi" w:cs="Times New Roman"/>
          <w:sz w:val="24"/>
          <w:szCs w:val="24"/>
          <w:lang w:val="en-US"/>
        </w:rPr>
        <w:t>.</w:t>
      </w:r>
    </w:p>
    <w:p w14:paraId="70CBBCE4" w14:textId="77777777" w:rsidR="00D2587D" w:rsidRPr="00AA566D" w:rsidRDefault="00D2587D" w:rsidP="00D2587D">
      <w:pPr>
        <w:spacing w:after="0" w:line="240" w:lineRule="auto"/>
        <w:jc w:val="both"/>
        <w:rPr>
          <w:rFonts w:asciiTheme="majorHAnsi" w:hAnsiTheme="majorHAnsi" w:cs="Times New Roman"/>
          <w:sz w:val="24"/>
          <w:szCs w:val="24"/>
          <w:lang w:val="en-US"/>
        </w:rPr>
      </w:pPr>
    </w:p>
    <w:p w14:paraId="310CDC97" w14:textId="5B027E37" w:rsidR="00D2587D" w:rsidRPr="00AA566D" w:rsidRDefault="002628B4"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This </w:t>
      </w:r>
      <w:r w:rsidR="00A22147" w:rsidRPr="00AA566D">
        <w:rPr>
          <w:rFonts w:asciiTheme="majorHAnsi" w:hAnsiTheme="majorHAnsi" w:cs="Times New Roman"/>
          <w:sz w:val="24"/>
          <w:szCs w:val="24"/>
          <w:lang w:val="en-US"/>
        </w:rPr>
        <w:t xml:space="preserve">step </w:t>
      </w:r>
      <w:r w:rsidRPr="00AA566D">
        <w:rPr>
          <w:rFonts w:asciiTheme="majorHAnsi" w:hAnsiTheme="majorHAnsi" w:cs="Times New Roman"/>
          <w:sz w:val="24"/>
          <w:szCs w:val="24"/>
          <w:lang w:val="en-US"/>
        </w:rPr>
        <w:t>will involve not only publishing and disseminating the results and recommendations but also finding appropriate mechanisms to support the implementation of the adopted regional action plan</w:t>
      </w:r>
      <w:r w:rsidR="00F51B51" w:rsidRPr="00AA566D">
        <w:rPr>
          <w:rFonts w:asciiTheme="majorHAnsi" w:hAnsiTheme="majorHAnsi" w:cs="Times New Roman"/>
          <w:sz w:val="24"/>
          <w:szCs w:val="24"/>
          <w:lang w:val="en-US"/>
        </w:rPr>
        <w:t xml:space="preserve"> for the strengthening of the relevance of the ed</w:t>
      </w:r>
      <w:r w:rsidR="00F54D8C" w:rsidRPr="00AA566D">
        <w:rPr>
          <w:rFonts w:asciiTheme="majorHAnsi" w:hAnsiTheme="majorHAnsi" w:cs="Times New Roman"/>
          <w:sz w:val="24"/>
          <w:szCs w:val="24"/>
          <w:lang w:val="en-US"/>
        </w:rPr>
        <w:t>ucation and training system in West and C</w:t>
      </w:r>
      <w:r w:rsidR="00F51B51" w:rsidRPr="00AA566D">
        <w:rPr>
          <w:rFonts w:asciiTheme="majorHAnsi" w:hAnsiTheme="majorHAnsi" w:cs="Times New Roman"/>
          <w:sz w:val="24"/>
          <w:szCs w:val="24"/>
          <w:lang w:val="en-US"/>
        </w:rPr>
        <w:t>entral Africa</w:t>
      </w:r>
      <w:r w:rsidRPr="00AA566D">
        <w:rPr>
          <w:rFonts w:asciiTheme="majorHAnsi" w:hAnsiTheme="majorHAnsi" w:cs="Times New Roman"/>
          <w:sz w:val="24"/>
          <w:szCs w:val="24"/>
          <w:lang w:val="en-US"/>
        </w:rPr>
        <w:t xml:space="preserve">. </w:t>
      </w:r>
    </w:p>
    <w:p w14:paraId="675FF437" w14:textId="77777777" w:rsidR="00D2587D" w:rsidRPr="00AA566D" w:rsidRDefault="00D2587D" w:rsidP="00D2587D">
      <w:pPr>
        <w:spacing w:after="0" w:line="240" w:lineRule="auto"/>
        <w:jc w:val="both"/>
        <w:rPr>
          <w:rFonts w:asciiTheme="majorHAnsi" w:hAnsiTheme="majorHAnsi" w:cs="Times New Roman"/>
          <w:sz w:val="24"/>
          <w:szCs w:val="24"/>
          <w:lang w:val="en-US"/>
        </w:rPr>
      </w:pPr>
    </w:p>
    <w:p w14:paraId="2289A55C" w14:textId="6E5C5619" w:rsidR="00F33FBB" w:rsidRPr="00AA566D" w:rsidRDefault="002628B4"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It should be noted that the ambition is that this regional report will be the first in a series to be produced every three years.</w:t>
      </w:r>
    </w:p>
    <w:p w14:paraId="5782881B" w14:textId="301DB77F" w:rsidR="00A22147" w:rsidRPr="00AA566D" w:rsidRDefault="00A22147" w:rsidP="00D2587D">
      <w:pPr>
        <w:pStyle w:val="ListParagraph"/>
        <w:spacing w:after="0" w:line="240" w:lineRule="auto"/>
        <w:jc w:val="both"/>
        <w:rPr>
          <w:rFonts w:asciiTheme="majorHAnsi" w:hAnsiTheme="majorHAnsi" w:cs="Times New Roman"/>
          <w:sz w:val="24"/>
          <w:szCs w:val="24"/>
          <w:lang w:val="en-US"/>
        </w:rPr>
      </w:pPr>
    </w:p>
    <w:p w14:paraId="4A867DE6" w14:textId="77777777" w:rsidR="007347D3" w:rsidRPr="00AA566D" w:rsidRDefault="006D5E53" w:rsidP="00D2587D">
      <w:pPr>
        <w:numPr>
          <w:ilvl w:val="0"/>
          <w:numId w:val="2"/>
        </w:numPr>
        <w:tabs>
          <w:tab w:val="left" w:pos="426"/>
        </w:tabs>
        <w:spacing w:after="0" w:line="240" w:lineRule="auto"/>
        <w:ind w:left="142" w:firstLine="0"/>
        <w:jc w:val="both"/>
        <w:rPr>
          <w:rFonts w:asciiTheme="majorHAnsi" w:hAnsiTheme="majorHAnsi" w:cs="Times New Roman"/>
          <w:b/>
          <w:color w:val="2E74B5" w:themeColor="accent1" w:themeShade="BF"/>
          <w:sz w:val="24"/>
          <w:szCs w:val="24"/>
          <w:u w:val="single"/>
          <w:lang w:val="en-US"/>
        </w:rPr>
      </w:pPr>
      <w:r w:rsidRPr="00AA566D">
        <w:rPr>
          <w:rFonts w:asciiTheme="majorHAnsi" w:hAnsiTheme="majorHAnsi" w:cs="Times New Roman"/>
          <w:b/>
          <w:color w:val="2E74B5" w:themeColor="accent1" w:themeShade="BF"/>
          <w:sz w:val="24"/>
          <w:szCs w:val="24"/>
          <w:u w:val="single"/>
          <w:lang w:val="en-US"/>
        </w:rPr>
        <w:t>TIMEFRAME</w:t>
      </w:r>
    </w:p>
    <w:p w14:paraId="2498B813" w14:textId="0D0B5B46" w:rsidR="006D5E53" w:rsidRPr="00AA566D" w:rsidRDefault="006D5E53" w:rsidP="00D2587D">
      <w:pPr>
        <w:spacing w:after="0" w:line="240" w:lineRule="auto"/>
        <w:jc w:val="both"/>
        <w:rPr>
          <w:rFonts w:asciiTheme="majorHAnsi" w:hAnsiTheme="majorHAnsi" w:cs="Times New Roman"/>
          <w:sz w:val="24"/>
          <w:szCs w:val="24"/>
          <w:lang w:val="en-US"/>
        </w:rPr>
      </w:pPr>
    </w:p>
    <w:p w14:paraId="64AC6497" w14:textId="7E043853" w:rsidR="00B8570F" w:rsidRPr="00AA566D" w:rsidRDefault="00F54D8C" w:rsidP="00D2587D">
      <w:pPr>
        <w:spacing w:after="0" w:line="240" w:lineRule="auto"/>
        <w:jc w:val="both"/>
        <w:rPr>
          <w:rFonts w:asciiTheme="majorHAnsi" w:hAnsiTheme="majorHAnsi" w:cs="Times New Roman"/>
          <w:i/>
          <w:color w:val="00B0F0"/>
          <w:sz w:val="20"/>
          <w:szCs w:val="20"/>
          <w:lang w:val="en-US"/>
        </w:rPr>
      </w:pPr>
      <w:r w:rsidRPr="00AA566D">
        <w:rPr>
          <w:rFonts w:asciiTheme="majorHAnsi" w:hAnsiTheme="majorHAnsi" w:cs="Times New Roman"/>
          <w:i/>
          <w:color w:val="00B0F0"/>
          <w:sz w:val="20"/>
          <w:szCs w:val="20"/>
          <w:lang w:val="en-US"/>
        </w:rPr>
        <w:t>Table</w:t>
      </w:r>
      <w:r w:rsidR="00B8570F" w:rsidRPr="00AA566D">
        <w:rPr>
          <w:rFonts w:asciiTheme="majorHAnsi" w:hAnsiTheme="majorHAnsi" w:cs="Times New Roman"/>
          <w:i/>
          <w:color w:val="00B0F0"/>
          <w:sz w:val="20"/>
          <w:szCs w:val="20"/>
          <w:lang w:val="en-US"/>
        </w:rPr>
        <w:t xml:space="preserve"> 3: Time frame</w:t>
      </w:r>
    </w:p>
    <w:tbl>
      <w:tblPr>
        <w:tblStyle w:val="TableGrid"/>
        <w:tblW w:w="0" w:type="auto"/>
        <w:tblInd w:w="-113" w:type="dxa"/>
        <w:tblLook w:val="04A0" w:firstRow="1" w:lastRow="0" w:firstColumn="1" w:lastColumn="0" w:noHBand="0" w:noVBand="1"/>
      </w:tblPr>
      <w:tblGrid>
        <w:gridCol w:w="1337"/>
        <w:gridCol w:w="1362"/>
        <w:gridCol w:w="573"/>
        <w:gridCol w:w="579"/>
        <w:gridCol w:w="583"/>
        <w:gridCol w:w="494"/>
        <w:gridCol w:w="450"/>
        <w:gridCol w:w="561"/>
        <w:gridCol w:w="516"/>
        <w:gridCol w:w="505"/>
        <w:gridCol w:w="561"/>
        <w:gridCol w:w="538"/>
        <w:gridCol w:w="518"/>
      </w:tblGrid>
      <w:tr w:rsidR="0025298F" w:rsidRPr="00AA566D" w14:paraId="100CD22B" w14:textId="6B18F4F8" w:rsidTr="00B8570F">
        <w:tc>
          <w:tcPr>
            <w:tcW w:w="1335" w:type="dxa"/>
          </w:tcPr>
          <w:p w14:paraId="07610C7D" w14:textId="3693D8D8" w:rsidR="0025298F" w:rsidRPr="00AA566D" w:rsidRDefault="0025298F" w:rsidP="00D2587D">
            <w:pPr>
              <w:jc w:val="center"/>
              <w:rPr>
                <w:rFonts w:asciiTheme="majorHAnsi" w:hAnsiTheme="majorHAnsi" w:cs="Times New Roman"/>
                <w:b/>
                <w:sz w:val="20"/>
                <w:szCs w:val="20"/>
                <w:lang w:val="fr-FR"/>
              </w:rPr>
            </w:pPr>
            <w:r w:rsidRPr="00AA566D">
              <w:rPr>
                <w:rFonts w:asciiTheme="majorHAnsi" w:hAnsiTheme="majorHAnsi" w:cs="Times New Roman"/>
                <w:b/>
                <w:sz w:val="20"/>
                <w:szCs w:val="20"/>
                <w:lang w:val="fr-FR"/>
              </w:rPr>
              <w:t>Phases</w:t>
            </w:r>
          </w:p>
        </w:tc>
        <w:tc>
          <w:tcPr>
            <w:tcW w:w="1362" w:type="dxa"/>
          </w:tcPr>
          <w:p w14:paraId="065248C0" w14:textId="77777777" w:rsidR="0025298F" w:rsidRPr="00AA566D" w:rsidRDefault="0025298F" w:rsidP="00D2587D">
            <w:pPr>
              <w:jc w:val="center"/>
              <w:rPr>
                <w:rFonts w:asciiTheme="majorHAnsi" w:hAnsiTheme="majorHAnsi" w:cs="Times New Roman"/>
                <w:b/>
                <w:sz w:val="20"/>
                <w:szCs w:val="20"/>
                <w:lang w:val="fr-BE"/>
              </w:rPr>
            </w:pPr>
            <w:r w:rsidRPr="00AA566D">
              <w:rPr>
                <w:rFonts w:asciiTheme="majorHAnsi" w:hAnsiTheme="majorHAnsi" w:cs="Times New Roman"/>
                <w:b/>
                <w:sz w:val="20"/>
                <w:szCs w:val="20"/>
                <w:lang w:val="fr-BE"/>
              </w:rPr>
              <w:t>Responsables</w:t>
            </w:r>
          </w:p>
        </w:tc>
        <w:tc>
          <w:tcPr>
            <w:tcW w:w="5865" w:type="dxa"/>
            <w:gridSpan w:val="11"/>
          </w:tcPr>
          <w:p w14:paraId="1DBDA918" w14:textId="77777777" w:rsidR="0025298F" w:rsidRPr="00AA566D" w:rsidRDefault="0025298F" w:rsidP="00D2587D">
            <w:pPr>
              <w:jc w:val="center"/>
              <w:rPr>
                <w:rFonts w:asciiTheme="majorHAnsi" w:hAnsiTheme="majorHAnsi" w:cs="Times New Roman"/>
                <w:b/>
                <w:sz w:val="20"/>
                <w:szCs w:val="20"/>
                <w:lang w:val="fr-FR"/>
              </w:rPr>
            </w:pPr>
            <w:r w:rsidRPr="00AA566D">
              <w:rPr>
                <w:rFonts w:asciiTheme="majorHAnsi" w:hAnsiTheme="majorHAnsi" w:cs="Times New Roman"/>
                <w:b/>
                <w:sz w:val="20"/>
                <w:szCs w:val="20"/>
                <w:lang w:val="fr-FR"/>
              </w:rPr>
              <w:t>Calendrier</w:t>
            </w:r>
          </w:p>
        </w:tc>
      </w:tr>
      <w:tr w:rsidR="0025298F" w:rsidRPr="00AA566D" w14:paraId="5305AD29" w14:textId="7BF5DA9D" w:rsidTr="00B8570F">
        <w:trPr>
          <w:trHeight w:val="117"/>
        </w:trPr>
        <w:tc>
          <w:tcPr>
            <w:tcW w:w="1335" w:type="dxa"/>
          </w:tcPr>
          <w:p w14:paraId="75F3C11C" w14:textId="14BE7990" w:rsidR="0025298F" w:rsidRPr="00AA566D" w:rsidRDefault="0025298F" w:rsidP="00D2587D">
            <w:pPr>
              <w:jc w:val="both"/>
              <w:rPr>
                <w:rFonts w:asciiTheme="majorHAnsi" w:hAnsiTheme="majorHAnsi" w:cs="Times New Roman"/>
                <w:sz w:val="20"/>
                <w:szCs w:val="20"/>
                <w:lang w:val="fr-FR"/>
              </w:rPr>
            </w:pPr>
          </w:p>
        </w:tc>
        <w:tc>
          <w:tcPr>
            <w:tcW w:w="1362" w:type="dxa"/>
            <w:vAlign w:val="center"/>
          </w:tcPr>
          <w:p w14:paraId="41984AA9" w14:textId="77777777" w:rsidR="0025298F" w:rsidRPr="00AA566D" w:rsidRDefault="0025298F" w:rsidP="00D2587D">
            <w:pPr>
              <w:rPr>
                <w:rFonts w:asciiTheme="majorHAnsi" w:hAnsiTheme="majorHAnsi" w:cs="Times New Roman"/>
                <w:sz w:val="20"/>
                <w:szCs w:val="20"/>
                <w:lang w:val="fr-FR"/>
              </w:rPr>
            </w:pPr>
          </w:p>
          <w:p w14:paraId="5E2E85A8" w14:textId="77777777" w:rsidR="0025298F" w:rsidRPr="00AA566D" w:rsidRDefault="0025298F" w:rsidP="00D2587D">
            <w:pPr>
              <w:pStyle w:val="ListParagraph"/>
              <w:rPr>
                <w:rFonts w:asciiTheme="majorHAnsi" w:hAnsiTheme="majorHAnsi" w:cs="Times New Roman"/>
                <w:sz w:val="20"/>
                <w:szCs w:val="20"/>
                <w:lang w:val="fr-FR"/>
              </w:rPr>
            </w:pPr>
          </w:p>
          <w:p w14:paraId="39CA655C" w14:textId="77777777" w:rsidR="0025298F" w:rsidRPr="00AA566D" w:rsidRDefault="0025298F" w:rsidP="00D2587D">
            <w:pPr>
              <w:pStyle w:val="ListParagraph"/>
              <w:ind w:left="360"/>
              <w:rPr>
                <w:rFonts w:asciiTheme="majorHAnsi" w:hAnsiTheme="majorHAnsi" w:cs="Times New Roman"/>
                <w:sz w:val="20"/>
                <w:szCs w:val="20"/>
                <w:lang w:val="fr-FR"/>
              </w:rPr>
            </w:pPr>
          </w:p>
        </w:tc>
        <w:tc>
          <w:tcPr>
            <w:tcW w:w="573" w:type="dxa"/>
            <w:shd w:val="clear" w:color="auto" w:fill="auto"/>
          </w:tcPr>
          <w:p w14:paraId="249F4068" w14:textId="62C36E06" w:rsidR="0025298F" w:rsidRPr="00AA566D" w:rsidRDefault="0025298F" w:rsidP="00F54D8C">
            <w:pPr>
              <w:rPr>
                <w:rFonts w:asciiTheme="majorHAnsi" w:hAnsiTheme="majorHAnsi" w:cs="Times New Roman"/>
                <w:sz w:val="20"/>
                <w:szCs w:val="20"/>
                <w:lang w:val="fr-FR"/>
              </w:rPr>
            </w:pPr>
            <w:r w:rsidRPr="00AA566D">
              <w:rPr>
                <w:rFonts w:asciiTheme="majorHAnsi" w:hAnsiTheme="majorHAnsi" w:cs="Times New Roman"/>
                <w:sz w:val="20"/>
                <w:szCs w:val="20"/>
                <w:lang w:val="fr-FR"/>
              </w:rPr>
              <w:t>Ma</w:t>
            </w:r>
            <w:r w:rsidR="00F54D8C" w:rsidRPr="00AA566D">
              <w:rPr>
                <w:rFonts w:asciiTheme="majorHAnsi" w:hAnsiTheme="majorHAnsi" w:cs="Times New Roman"/>
                <w:sz w:val="20"/>
                <w:szCs w:val="20"/>
                <w:lang w:val="fr-FR"/>
              </w:rPr>
              <w:t>r</w:t>
            </w:r>
          </w:p>
        </w:tc>
        <w:tc>
          <w:tcPr>
            <w:tcW w:w="579" w:type="dxa"/>
            <w:shd w:val="clear" w:color="auto" w:fill="auto"/>
          </w:tcPr>
          <w:p w14:paraId="0C76A249" w14:textId="59F94E2D" w:rsidR="0025298F" w:rsidRPr="00AA566D" w:rsidRDefault="0025298F" w:rsidP="00F54D8C">
            <w:pPr>
              <w:rPr>
                <w:rFonts w:asciiTheme="majorHAnsi" w:hAnsiTheme="majorHAnsi" w:cs="Times New Roman"/>
                <w:sz w:val="20"/>
                <w:szCs w:val="20"/>
                <w:lang w:val="fr-FR"/>
              </w:rPr>
            </w:pPr>
            <w:r w:rsidRPr="00AA566D">
              <w:rPr>
                <w:rFonts w:asciiTheme="majorHAnsi" w:hAnsiTheme="majorHAnsi" w:cs="Times New Roman"/>
                <w:sz w:val="20"/>
                <w:szCs w:val="20"/>
                <w:lang w:val="fr-FR"/>
              </w:rPr>
              <w:t>Apr</w:t>
            </w:r>
          </w:p>
        </w:tc>
        <w:tc>
          <w:tcPr>
            <w:tcW w:w="583" w:type="dxa"/>
            <w:shd w:val="clear" w:color="auto" w:fill="auto"/>
          </w:tcPr>
          <w:p w14:paraId="3E3C8F74" w14:textId="328EBBCF"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May</w:t>
            </w:r>
          </w:p>
        </w:tc>
        <w:tc>
          <w:tcPr>
            <w:tcW w:w="494" w:type="dxa"/>
            <w:shd w:val="clear" w:color="auto" w:fill="auto"/>
          </w:tcPr>
          <w:p w14:paraId="3458332D" w14:textId="51E43759"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Jun</w:t>
            </w:r>
          </w:p>
        </w:tc>
        <w:tc>
          <w:tcPr>
            <w:tcW w:w="450" w:type="dxa"/>
            <w:shd w:val="clear" w:color="auto" w:fill="auto"/>
          </w:tcPr>
          <w:p w14:paraId="36B01D9D" w14:textId="71359E76"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Jul</w:t>
            </w:r>
          </w:p>
        </w:tc>
        <w:tc>
          <w:tcPr>
            <w:tcW w:w="561" w:type="dxa"/>
            <w:shd w:val="clear" w:color="auto" w:fill="auto"/>
          </w:tcPr>
          <w:p w14:paraId="1D6CE8D4" w14:textId="1EA14DA4"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Aug</w:t>
            </w:r>
          </w:p>
        </w:tc>
        <w:tc>
          <w:tcPr>
            <w:tcW w:w="516" w:type="dxa"/>
            <w:shd w:val="clear" w:color="auto" w:fill="auto"/>
          </w:tcPr>
          <w:p w14:paraId="762CC9DB" w14:textId="616083D1"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Sep</w:t>
            </w:r>
          </w:p>
        </w:tc>
        <w:tc>
          <w:tcPr>
            <w:tcW w:w="505" w:type="dxa"/>
            <w:shd w:val="clear" w:color="auto" w:fill="auto"/>
          </w:tcPr>
          <w:p w14:paraId="2F48C348" w14:textId="50F22626"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Oct</w:t>
            </w:r>
          </w:p>
        </w:tc>
        <w:tc>
          <w:tcPr>
            <w:tcW w:w="561" w:type="dxa"/>
            <w:shd w:val="clear" w:color="auto" w:fill="auto"/>
          </w:tcPr>
          <w:p w14:paraId="15786A37" w14:textId="532B801E"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Nov</w:t>
            </w:r>
          </w:p>
        </w:tc>
        <w:tc>
          <w:tcPr>
            <w:tcW w:w="538" w:type="dxa"/>
          </w:tcPr>
          <w:p w14:paraId="478F7747" w14:textId="2C71FA19"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Déc</w:t>
            </w:r>
          </w:p>
        </w:tc>
        <w:tc>
          <w:tcPr>
            <w:tcW w:w="505" w:type="dxa"/>
          </w:tcPr>
          <w:p w14:paraId="65DFBA94" w14:textId="6B361782"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Jan and +</w:t>
            </w:r>
          </w:p>
        </w:tc>
      </w:tr>
      <w:tr w:rsidR="0025298F" w:rsidRPr="00AA566D" w14:paraId="319451AF" w14:textId="5E7C150C" w:rsidTr="00B8570F">
        <w:trPr>
          <w:trHeight w:val="354"/>
        </w:trPr>
        <w:tc>
          <w:tcPr>
            <w:tcW w:w="1335" w:type="dxa"/>
          </w:tcPr>
          <w:p w14:paraId="5242D80F" w14:textId="3B36D2EF" w:rsidR="0025298F" w:rsidRPr="00AA566D" w:rsidRDefault="0025298F" w:rsidP="00D2587D">
            <w:pPr>
              <w:rPr>
                <w:rFonts w:asciiTheme="majorHAnsi" w:hAnsiTheme="majorHAnsi" w:cs="Times New Roman"/>
                <w:sz w:val="20"/>
                <w:szCs w:val="20"/>
              </w:rPr>
            </w:pPr>
            <w:r w:rsidRPr="00AA566D">
              <w:rPr>
                <w:rFonts w:asciiTheme="majorHAnsi" w:hAnsiTheme="majorHAnsi" w:cs="Times New Roman"/>
                <w:sz w:val="20"/>
                <w:szCs w:val="20"/>
              </w:rPr>
              <w:t xml:space="preserve">Preliminary phase </w:t>
            </w:r>
          </w:p>
        </w:tc>
        <w:tc>
          <w:tcPr>
            <w:tcW w:w="1362" w:type="dxa"/>
            <w:vAlign w:val="center"/>
          </w:tcPr>
          <w:p w14:paraId="6967928F" w14:textId="2AF411BE" w:rsidR="0025298F" w:rsidRPr="00AA566D" w:rsidRDefault="0025298F" w:rsidP="00D2587D">
            <w:pPr>
              <w:rPr>
                <w:rFonts w:asciiTheme="majorHAnsi" w:hAnsiTheme="majorHAnsi" w:cs="Times New Roman"/>
                <w:sz w:val="20"/>
                <w:szCs w:val="20"/>
              </w:rPr>
            </w:pPr>
            <w:r w:rsidRPr="00AA566D">
              <w:rPr>
                <w:rFonts w:asciiTheme="majorHAnsi" w:hAnsiTheme="majorHAnsi" w:cs="Times New Roman"/>
                <w:sz w:val="20"/>
                <w:szCs w:val="20"/>
              </w:rPr>
              <w:t>RCG4-WCA</w:t>
            </w:r>
          </w:p>
        </w:tc>
        <w:tc>
          <w:tcPr>
            <w:tcW w:w="573" w:type="dxa"/>
            <w:shd w:val="clear" w:color="auto" w:fill="7F7F7F" w:themeFill="text1" w:themeFillTint="80"/>
          </w:tcPr>
          <w:p w14:paraId="456E735B" w14:textId="77777777" w:rsidR="0025298F" w:rsidRPr="00AA566D" w:rsidRDefault="0025298F" w:rsidP="00D2587D">
            <w:pPr>
              <w:rPr>
                <w:rFonts w:asciiTheme="majorHAnsi" w:hAnsiTheme="majorHAnsi" w:cs="Times New Roman"/>
                <w:sz w:val="20"/>
                <w:szCs w:val="20"/>
              </w:rPr>
            </w:pPr>
          </w:p>
        </w:tc>
        <w:tc>
          <w:tcPr>
            <w:tcW w:w="579" w:type="dxa"/>
            <w:shd w:val="clear" w:color="auto" w:fill="7F7F7F" w:themeFill="text1" w:themeFillTint="80"/>
          </w:tcPr>
          <w:p w14:paraId="394C4A1E" w14:textId="77777777" w:rsidR="0025298F" w:rsidRPr="00AA566D" w:rsidRDefault="0025298F" w:rsidP="00D2587D">
            <w:pPr>
              <w:rPr>
                <w:rFonts w:asciiTheme="majorHAnsi" w:hAnsiTheme="majorHAnsi" w:cs="Times New Roman"/>
                <w:sz w:val="20"/>
                <w:szCs w:val="20"/>
              </w:rPr>
            </w:pPr>
          </w:p>
        </w:tc>
        <w:tc>
          <w:tcPr>
            <w:tcW w:w="583" w:type="dxa"/>
            <w:shd w:val="clear" w:color="auto" w:fill="auto"/>
          </w:tcPr>
          <w:p w14:paraId="3EC4357E" w14:textId="77777777" w:rsidR="0025298F" w:rsidRPr="00AA566D" w:rsidRDefault="0025298F" w:rsidP="00D2587D">
            <w:pPr>
              <w:rPr>
                <w:rFonts w:asciiTheme="majorHAnsi" w:hAnsiTheme="majorHAnsi" w:cs="Times New Roman"/>
                <w:sz w:val="20"/>
                <w:szCs w:val="20"/>
              </w:rPr>
            </w:pPr>
          </w:p>
        </w:tc>
        <w:tc>
          <w:tcPr>
            <w:tcW w:w="494" w:type="dxa"/>
            <w:shd w:val="clear" w:color="auto" w:fill="auto"/>
          </w:tcPr>
          <w:p w14:paraId="0844FF63" w14:textId="77777777" w:rsidR="0025298F" w:rsidRPr="00AA566D" w:rsidRDefault="0025298F" w:rsidP="00D2587D">
            <w:pPr>
              <w:rPr>
                <w:rFonts w:asciiTheme="majorHAnsi" w:hAnsiTheme="majorHAnsi" w:cs="Times New Roman"/>
                <w:sz w:val="20"/>
                <w:szCs w:val="20"/>
              </w:rPr>
            </w:pPr>
          </w:p>
        </w:tc>
        <w:tc>
          <w:tcPr>
            <w:tcW w:w="450" w:type="dxa"/>
            <w:shd w:val="clear" w:color="auto" w:fill="auto"/>
          </w:tcPr>
          <w:p w14:paraId="5A063FEC" w14:textId="77777777" w:rsidR="0025298F" w:rsidRPr="00AA566D" w:rsidRDefault="0025298F" w:rsidP="00D2587D">
            <w:pPr>
              <w:rPr>
                <w:rFonts w:asciiTheme="majorHAnsi" w:hAnsiTheme="majorHAnsi" w:cs="Times New Roman"/>
                <w:sz w:val="20"/>
                <w:szCs w:val="20"/>
              </w:rPr>
            </w:pPr>
          </w:p>
        </w:tc>
        <w:tc>
          <w:tcPr>
            <w:tcW w:w="561" w:type="dxa"/>
            <w:shd w:val="clear" w:color="auto" w:fill="auto"/>
          </w:tcPr>
          <w:p w14:paraId="3CCF1B19" w14:textId="77777777" w:rsidR="0025298F" w:rsidRPr="00AA566D" w:rsidRDefault="0025298F" w:rsidP="00D2587D">
            <w:pPr>
              <w:rPr>
                <w:rFonts w:asciiTheme="majorHAnsi" w:hAnsiTheme="majorHAnsi" w:cs="Times New Roman"/>
                <w:sz w:val="20"/>
                <w:szCs w:val="20"/>
              </w:rPr>
            </w:pPr>
          </w:p>
        </w:tc>
        <w:tc>
          <w:tcPr>
            <w:tcW w:w="516" w:type="dxa"/>
            <w:shd w:val="clear" w:color="auto" w:fill="auto"/>
          </w:tcPr>
          <w:p w14:paraId="704F6A2B" w14:textId="77777777" w:rsidR="0025298F" w:rsidRPr="00AA566D" w:rsidRDefault="0025298F" w:rsidP="00D2587D">
            <w:pPr>
              <w:rPr>
                <w:rFonts w:asciiTheme="majorHAnsi" w:hAnsiTheme="majorHAnsi" w:cs="Times New Roman"/>
                <w:sz w:val="20"/>
                <w:szCs w:val="20"/>
              </w:rPr>
            </w:pPr>
          </w:p>
        </w:tc>
        <w:tc>
          <w:tcPr>
            <w:tcW w:w="505" w:type="dxa"/>
            <w:shd w:val="clear" w:color="auto" w:fill="auto"/>
          </w:tcPr>
          <w:p w14:paraId="31A8D687" w14:textId="77777777" w:rsidR="0025298F" w:rsidRPr="00AA566D" w:rsidRDefault="0025298F" w:rsidP="00D2587D">
            <w:pPr>
              <w:rPr>
                <w:rFonts w:asciiTheme="majorHAnsi" w:hAnsiTheme="majorHAnsi" w:cs="Times New Roman"/>
                <w:sz w:val="20"/>
                <w:szCs w:val="20"/>
              </w:rPr>
            </w:pPr>
          </w:p>
        </w:tc>
        <w:tc>
          <w:tcPr>
            <w:tcW w:w="561" w:type="dxa"/>
            <w:shd w:val="clear" w:color="auto" w:fill="auto"/>
          </w:tcPr>
          <w:p w14:paraId="353AC9E4" w14:textId="77777777" w:rsidR="0025298F" w:rsidRPr="00AA566D" w:rsidRDefault="0025298F" w:rsidP="00D2587D">
            <w:pPr>
              <w:rPr>
                <w:rFonts w:asciiTheme="majorHAnsi" w:hAnsiTheme="majorHAnsi" w:cs="Times New Roman"/>
                <w:sz w:val="20"/>
                <w:szCs w:val="20"/>
              </w:rPr>
            </w:pPr>
          </w:p>
        </w:tc>
        <w:tc>
          <w:tcPr>
            <w:tcW w:w="538" w:type="dxa"/>
            <w:shd w:val="clear" w:color="auto" w:fill="auto"/>
          </w:tcPr>
          <w:p w14:paraId="2B60094B" w14:textId="77777777" w:rsidR="0025298F" w:rsidRPr="00AA566D" w:rsidRDefault="0025298F" w:rsidP="00D2587D">
            <w:pPr>
              <w:rPr>
                <w:rFonts w:asciiTheme="majorHAnsi" w:hAnsiTheme="majorHAnsi" w:cs="Times New Roman"/>
                <w:sz w:val="20"/>
                <w:szCs w:val="20"/>
              </w:rPr>
            </w:pPr>
          </w:p>
        </w:tc>
        <w:tc>
          <w:tcPr>
            <w:tcW w:w="505" w:type="dxa"/>
            <w:shd w:val="clear" w:color="auto" w:fill="auto"/>
          </w:tcPr>
          <w:p w14:paraId="1E515771" w14:textId="77777777" w:rsidR="0025298F" w:rsidRPr="00AA566D" w:rsidRDefault="0025298F" w:rsidP="00D2587D">
            <w:pPr>
              <w:rPr>
                <w:rFonts w:asciiTheme="majorHAnsi" w:hAnsiTheme="majorHAnsi" w:cs="Times New Roman"/>
                <w:sz w:val="20"/>
                <w:szCs w:val="20"/>
              </w:rPr>
            </w:pPr>
          </w:p>
        </w:tc>
      </w:tr>
      <w:tr w:rsidR="0025298F" w:rsidRPr="00AA566D" w14:paraId="5D4C4C4C" w14:textId="14B2C1C7" w:rsidTr="00B8570F">
        <w:trPr>
          <w:trHeight w:val="162"/>
        </w:trPr>
        <w:tc>
          <w:tcPr>
            <w:tcW w:w="1335" w:type="dxa"/>
          </w:tcPr>
          <w:p w14:paraId="1BD0DF3B" w14:textId="7B4814DF" w:rsidR="0025298F" w:rsidRPr="00AA566D" w:rsidRDefault="0025298F" w:rsidP="00D2587D">
            <w:pPr>
              <w:rPr>
                <w:rFonts w:asciiTheme="majorHAnsi" w:hAnsiTheme="majorHAnsi" w:cs="Times New Roman"/>
                <w:sz w:val="20"/>
                <w:szCs w:val="20"/>
              </w:rPr>
            </w:pPr>
            <w:r w:rsidRPr="00AA566D">
              <w:rPr>
                <w:rFonts w:asciiTheme="majorHAnsi" w:hAnsiTheme="majorHAnsi" w:cs="Times New Roman"/>
                <w:sz w:val="20"/>
                <w:szCs w:val="20"/>
              </w:rPr>
              <w:t xml:space="preserve">First regional workshop </w:t>
            </w:r>
          </w:p>
        </w:tc>
        <w:tc>
          <w:tcPr>
            <w:tcW w:w="1362" w:type="dxa"/>
            <w:vAlign w:val="center"/>
          </w:tcPr>
          <w:p w14:paraId="68F53414" w14:textId="1854217B" w:rsidR="0025298F" w:rsidRPr="00AA566D" w:rsidRDefault="0025298F" w:rsidP="00D2587D">
            <w:pPr>
              <w:rPr>
                <w:rFonts w:asciiTheme="majorHAnsi" w:hAnsiTheme="majorHAnsi" w:cs="Times New Roman"/>
                <w:sz w:val="20"/>
                <w:szCs w:val="20"/>
              </w:rPr>
            </w:pPr>
            <w:r w:rsidRPr="00AA566D">
              <w:rPr>
                <w:rFonts w:asciiTheme="majorHAnsi" w:hAnsiTheme="majorHAnsi" w:cs="Times New Roman"/>
                <w:sz w:val="20"/>
                <w:szCs w:val="20"/>
              </w:rPr>
              <w:t>Regional Task team</w:t>
            </w:r>
          </w:p>
        </w:tc>
        <w:tc>
          <w:tcPr>
            <w:tcW w:w="573" w:type="dxa"/>
            <w:shd w:val="clear" w:color="auto" w:fill="auto"/>
          </w:tcPr>
          <w:p w14:paraId="21DBE0C6" w14:textId="77777777" w:rsidR="0025298F" w:rsidRPr="00AA566D" w:rsidRDefault="0025298F" w:rsidP="00D2587D">
            <w:pPr>
              <w:rPr>
                <w:rFonts w:asciiTheme="majorHAnsi" w:hAnsiTheme="majorHAnsi" w:cs="Times New Roman"/>
                <w:sz w:val="20"/>
                <w:szCs w:val="20"/>
              </w:rPr>
            </w:pPr>
          </w:p>
        </w:tc>
        <w:tc>
          <w:tcPr>
            <w:tcW w:w="579" w:type="dxa"/>
            <w:shd w:val="clear" w:color="auto" w:fill="auto"/>
          </w:tcPr>
          <w:p w14:paraId="0B4AC8ED" w14:textId="77777777" w:rsidR="0025298F" w:rsidRPr="00AA566D" w:rsidRDefault="0025298F" w:rsidP="00D2587D">
            <w:pPr>
              <w:rPr>
                <w:rFonts w:asciiTheme="majorHAnsi" w:hAnsiTheme="majorHAnsi" w:cs="Times New Roman"/>
                <w:sz w:val="20"/>
                <w:szCs w:val="20"/>
              </w:rPr>
            </w:pPr>
          </w:p>
        </w:tc>
        <w:tc>
          <w:tcPr>
            <w:tcW w:w="583" w:type="dxa"/>
            <w:shd w:val="clear" w:color="auto" w:fill="7F7F7F" w:themeFill="text1" w:themeFillTint="80"/>
          </w:tcPr>
          <w:p w14:paraId="4F0ADA07" w14:textId="77777777" w:rsidR="0025298F" w:rsidRPr="00AA566D" w:rsidRDefault="0025298F" w:rsidP="00D2587D">
            <w:pPr>
              <w:rPr>
                <w:rFonts w:asciiTheme="majorHAnsi" w:hAnsiTheme="majorHAnsi" w:cs="Times New Roman"/>
                <w:sz w:val="20"/>
                <w:szCs w:val="20"/>
              </w:rPr>
            </w:pPr>
          </w:p>
        </w:tc>
        <w:tc>
          <w:tcPr>
            <w:tcW w:w="494" w:type="dxa"/>
            <w:shd w:val="clear" w:color="auto" w:fill="7F7F7F" w:themeFill="text1" w:themeFillTint="80"/>
          </w:tcPr>
          <w:p w14:paraId="6E5B25A4" w14:textId="77777777" w:rsidR="0025298F" w:rsidRPr="00AA566D" w:rsidRDefault="0025298F" w:rsidP="00D2587D">
            <w:pPr>
              <w:rPr>
                <w:rFonts w:asciiTheme="majorHAnsi" w:hAnsiTheme="majorHAnsi" w:cs="Times New Roman"/>
                <w:sz w:val="20"/>
                <w:szCs w:val="20"/>
              </w:rPr>
            </w:pPr>
          </w:p>
        </w:tc>
        <w:tc>
          <w:tcPr>
            <w:tcW w:w="450" w:type="dxa"/>
            <w:shd w:val="clear" w:color="auto" w:fill="auto"/>
          </w:tcPr>
          <w:p w14:paraId="39C00262" w14:textId="77777777" w:rsidR="0025298F" w:rsidRPr="00AA566D" w:rsidRDefault="0025298F" w:rsidP="00D2587D">
            <w:pPr>
              <w:rPr>
                <w:rFonts w:asciiTheme="majorHAnsi" w:hAnsiTheme="majorHAnsi" w:cs="Times New Roman"/>
                <w:sz w:val="20"/>
                <w:szCs w:val="20"/>
              </w:rPr>
            </w:pPr>
          </w:p>
        </w:tc>
        <w:tc>
          <w:tcPr>
            <w:tcW w:w="561" w:type="dxa"/>
            <w:shd w:val="clear" w:color="auto" w:fill="auto"/>
          </w:tcPr>
          <w:p w14:paraId="1628428B" w14:textId="77777777" w:rsidR="0025298F" w:rsidRPr="00AA566D" w:rsidRDefault="0025298F" w:rsidP="00D2587D">
            <w:pPr>
              <w:rPr>
                <w:rFonts w:asciiTheme="majorHAnsi" w:hAnsiTheme="majorHAnsi" w:cs="Times New Roman"/>
                <w:sz w:val="20"/>
                <w:szCs w:val="20"/>
              </w:rPr>
            </w:pPr>
          </w:p>
        </w:tc>
        <w:tc>
          <w:tcPr>
            <w:tcW w:w="516" w:type="dxa"/>
            <w:shd w:val="clear" w:color="auto" w:fill="auto"/>
          </w:tcPr>
          <w:p w14:paraId="218D9947" w14:textId="77777777" w:rsidR="0025298F" w:rsidRPr="00AA566D" w:rsidRDefault="0025298F" w:rsidP="00D2587D">
            <w:pPr>
              <w:rPr>
                <w:rFonts w:asciiTheme="majorHAnsi" w:hAnsiTheme="majorHAnsi" w:cs="Times New Roman"/>
                <w:sz w:val="20"/>
                <w:szCs w:val="20"/>
              </w:rPr>
            </w:pPr>
          </w:p>
        </w:tc>
        <w:tc>
          <w:tcPr>
            <w:tcW w:w="505" w:type="dxa"/>
            <w:shd w:val="clear" w:color="auto" w:fill="auto"/>
          </w:tcPr>
          <w:p w14:paraId="503DF6E8" w14:textId="77777777" w:rsidR="0025298F" w:rsidRPr="00AA566D" w:rsidRDefault="0025298F" w:rsidP="00D2587D">
            <w:pPr>
              <w:rPr>
                <w:rFonts w:asciiTheme="majorHAnsi" w:hAnsiTheme="majorHAnsi" w:cs="Times New Roman"/>
                <w:sz w:val="20"/>
                <w:szCs w:val="20"/>
              </w:rPr>
            </w:pPr>
          </w:p>
        </w:tc>
        <w:tc>
          <w:tcPr>
            <w:tcW w:w="561" w:type="dxa"/>
            <w:shd w:val="clear" w:color="auto" w:fill="auto"/>
          </w:tcPr>
          <w:p w14:paraId="7436125F" w14:textId="77777777" w:rsidR="0025298F" w:rsidRPr="00AA566D" w:rsidRDefault="0025298F" w:rsidP="00D2587D">
            <w:pPr>
              <w:rPr>
                <w:rFonts w:asciiTheme="majorHAnsi" w:hAnsiTheme="majorHAnsi" w:cs="Times New Roman"/>
                <w:sz w:val="20"/>
                <w:szCs w:val="20"/>
              </w:rPr>
            </w:pPr>
          </w:p>
        </w:tc>
        <w:tc>
          <w:tcPr>
            <w:tcW w:w="538" w:type="dxa"/>
            <w:shd w:val="clear" w:color="auto" w:fill="auto"/>
          </w:tcPr>
          <w:p w14:paraId="596BBC86" w14:textId="77777777" w:rsidR="0025298F" w:rsidRPr="00AA566D" w:rsidRDefault="0025298F" w:rsidP="00D2587D">
            <w:pPr>
              <w:rPr>
                <w:rFonts w:asciiTheme="majorHAnsi" w:hAnsiTheme="majorHAnsi" w:cs="Times New Roman"/>
                <w:sz w:val="20"/>
                <w:szCs w:val="20"/>
              </w:rPr>
            </w:pPr>
          </w:p>
        </w:tc>
        <w:tc>
          <w:tcPr>
            <w:tcW w:w="505" w:type="dxa"/>
            <w:shd w:val="clear" w:color="auto" w:fill="auto"/>
          </w:tcPr>
          <w:p w14:paraId="152C3DD2" w14:textId="77777777" w:rsidR="0025298F" w:rsidRPr="00AA566D" w:rsidRDefault="0025298F" w:rsidP="00D2587D">
            <w:pPr>
              <w:rPr>
                <w:rFonts w:asciiTheme="majorHAnsi" w:hAnsiTheme="majorHAnsi" w:cs="Times New Roman"/>
                <w:sz w:val="20"/>
                <w:szCs w:val="20"/>
              </w:rPr>
            </w:pPr>
          </w:p>
        </w:tc>
      </w:tr>
      <w:tr w:rsidR="0025298F" w:rsidRPr="00AA566D" w14:paraId="757BFD1D" w14:textId="008798DF" w:rsidTr="00B8570F">
        <w:trPr>
          <w:trHeight w:val="452"/>
        </w:trPr>
        <w:tc>
          <w:tcPr>
            <w:tcW w:w="1335" w:type="dxa"/>
          </w:tcPr>
          <w:p w14:paraId="375AD608" w14:textId="293BE7DC" w:rsidR="0025298F" w:rsidRPr="00AA566D" w:rsidRDefault="0025298F" w:rsidP="00D2587D">
            <w:pPr>
              <w:rPr>
                <w:rFonts w:asciiTheme="majorHAnsi" w:hAnsiTheme="majorHAnsi" w:cs="Times New Roman"/>
                <w:sz w:val="20"/>
                <w:szCs w:val="20"/>
              </w:rPr>
            </w:pPr>
            <w:r w:rsidRPr="00AA566D">
              <w:rPr>
                <w:rFonts w:asciiTheme="majorHAnsi" w:hAnsiTheme="majorHAnsi" w:cs="Times New Roman"/>
                <w:sz w:val="20"/>
                <w:szCs w:val="20"/>
              </w:rPr>
              <w:t>Production of nationals studies</w:t>
            </w:r>
          </w:p>
        </w:tc>
        <w:tc>
          <w:tcPr>
            <w:tcW w:w="1362" w:type="dxa"/>
            <w:vAlign w:val="center"/>
          </w:tcPr>
          <w:p w14:paraId="33627DBC" w14:textId="715AA953"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lang w:val="fr-FR"/>
              </w:rPr>
              <w:t>National team</w:t>
            </w:r>
          </w:p>
        </w:tc>
        <w:tc>
          <w:tcPr>
            <w:tcW w:w="573" w:type="dxa"/>
            <w:shd w:val="clear" w:color="auto" w:fill="auto"/>
          </w:tcPr>
          <w:p w14:paraId="647E6AA3" w14:textId="77777777" w:rsidR="0025298F" w:rsidRPr="00AA566D" w:rsidRDefault="0025298F" w:rsidP="00D2587D">
            <w:pPr>
              <w:rPr>
                <w:rFonts w:asciiTheme="majorHAnsi" w:hAnsiTheme="majorHAnsi" w:cs="Times New Roman"/>
                <w:sz w:val="20"/>
                <w:szCs w:val="20"/>
                <w:lang w:val="fr-FR"/>
              </w:rPr>
            </w:pPr>
          </w:p>
        </w:tc>
        <w:tc>
          <w:tcPr>
            <w:tcW w:w="579" w:type="dxa"/>
            <w:shd w:val="clear" w:color="auto" w:fill="auto"/>
          </w:tcPr>
          <w:p w14:paraId="60CDEB25" w14:textId="77777777" w:rsidR="0025298F" w:rsidRPr="00AA566D" w:rsidRDefault="0025298F" w:rsidP="00D2587D">
            <w:pPr>
              <w:rPr>
                <w:rFonts w:asciiTheme="majorHAnsi" w:hAnsiTheme="majorHAnsi" w:cs="Times New Roman"/>
                <w:sz w:val="20"/>
                <w:szCs w:val="20"/>
                <w:lang w:val="fr-FR"/>
              </w:rPr>
            </w:pPr>
          </w:p>
        </w:tc>
        <w:tc>
          <w:tcPr>
            <w:tcW w:w="583" w:type="dxa"/>
            <w:shd w:val="clear" w:color="auto" w:fill="auto"/>
          </w:tcPr>
          <w:p w14:paraId="56C2D4EA" w14:textId="77777777" w:rsidR="0025298F" w:rsidRPr="00AA566D" w:rsidRDefault="0025298F" w:rsidP="00D2587D">
            <w:pPr>
              <w:rPr>
                <w:rFonts w:asciiTheme="majorHAnsi" w:hAnsiTheme="majorHAnsi" w:cs="Times New Roman"/>
                <w:sz w:val="20"/>
                <w:szCs w:val="20"/>
                <w:lang w:val="fr-FR"/>
              </w:rPr>
            </w:pPr>
          </w:p>
        </w:tc>
        <w:tc>
          <w:tcPr>
            <w:tcW w:w="494" w:type="dxa"/>
            <w:shd w:val="clear" w:color="auto" w:fill="7F7F7F" w:themeFill="text1" w:themeFillTint="80"/>
          </w:tcPr>
          <w:p w14:paraId="0B6EF31F" w14:textId="77777777" w:rsidR="0025298F" w:rsidRPr="00AA566D" w:rsidRDefault="0025298F" w:rsidP="00D2587D">
            <w:pPr>
              <w:rPr>
                <w:rFonts w:asciiTheme="majorHAnsi" w:hAnsiTheme="majorHAnsi" w:cs="Times New Roman"/>
                <w:sz w:val="20"/>
                <w:szCs w:val="20"/>
                <w:lang w:val="fr-FR"/>
              </w:rPr>
            </w:pPr>
          </w:p>
        </w:tc>
        <w:tc>
          <w:tcPr>
            <w:tcW w:w="450" w:type="dxa"/>
            <w:shd w:val="clear" w:color="auto" w:fill="7F7F7F" w:themeFill="text1" w:themeFillTint="80"/>
          </w:tcPr>
          <w:p w14:paraId="3A71A522" w14:textId="77777777" w:rsidR="0025298F" w:rsidRPr="00AA566D" w:rsidRDefault="0025298F" w:rsidP="00D2587D">
            <w:pPr>
              <w:rPr>
                <w:rFonts w:asciiTheme="majorHAnsi" w:hAnsiTheme="majorHAnsi" w:cs="Times New Roman"/>
                <w:sz w:val="20"/>
                <w:szCs w:val="20"/>
                <w:lang w:val="fr-FR"/>
              </w:rPr>
            </w:pPr>
          </w:p>
        </w:tc>
        <w:tc>
          <w:tcPr>
            <w:tcW w:w="561" w:type="dxa"/>
            <w:shd w:val="clear" w:color="auto" w:fill="7F7F7F" w:themeFill="text1" w:themeFillTint="80"/>
          </w:tcPr>
          <w:p w14:paraId="34D8DE06" w14:textId="77777777" w:rsidR="0025298F" w:rsidRPr="00AA566D" w:rsidRDefault="0025298F" w:rsidP="00D2587D">
            <w:pPr>
              <w:rPr>
                <w:rFonts w:asciiTheme="majorHAnsi" w:hAnsiTheme="majorHAnsi" w:cs="Times New Roman"/>
                <w:sz w:val="20"/>
                <w:szCs w:val="20"/>
                <w:lang w:val="fr-FR"/>
              </w:rPr>
            </w:pPr>
          </w:p>
        </w:tc>
        <w:tc>
          <w:tcPr>
            <w:tcW w:w="516" w:type="dxa"/>
            <w:shd w:val="clear" w:color="auto" w:fill="7F7F7F" w:themeFill="text1" w:themeFillTint="80"/>
          </w:tcPr>
          <w:p w14:paraId="7ECA4965" w14:textId="77777777" w:rsidR="0025298F" w:rsidRPr="00AA566D" w:rsidRDefault="0025298F" w:rsidP="00D2587D">
            <w:pPr>
              <w:rPr>
                <w:rFonts w:asciiTheme="majorHAnsi" w:hAnsiTheme="majorHAnsi" w:cs="Times New Roman"/>
                <w:sz w:val="20"/>
                <w:szCs w:val="20"/>
                <w:lang w:val="fr-FR"/>
              </w:rPr>
            </w:pPr>
          </w:p>
        </w:tc>
        <w:tc>
          <w:tcPr>
            <w:tcW w:w="505" w:type="dxa"/>
            <w:shd w:val="clear" w:color="auto" w:fill="7F7F7F" w:themeFill="text1" w:themeFillTint="80"/>
          </w:tcPr>
          <w:p w14:paraId="316E90E4" w14:textId="77777777" w:rsidR="0025298F" w:rsidRPr="00AA566D" w:rsidRDefault="0025298F" w:rsidP="00D2587D">
            <w:pPr>
              <w:rPr>
                <w:rFonts w:asciiTheme="majorHAnsi" w:hAnsiTheme="majorHAnsi" w:cs="Times New Roman"/>
                <w:sz w:val="20"/>
                <w:szCs w:val="20"/>
                <w:lang w:val="fr-FR"/>
              </w:rPr>
            </w:pPr>
          </w:p>
        </w:tc>
        <w:tc>
          <w:tcPr>
            <w:tcW w:w="561" w:type="dxa"/>
            <w:shd w:val="clear" w:color="auto" w:fill="auto"/>
          </w:tcPr>
          <w:p w14:paraId="79B95590" w14:textId="77777777" w:rsidR="0025298F" w:rsidRPr="00AA566D" w:rsidRDefault="0025298F" w:rsidP="00D2587D">
            <w:pPr>
              <w:rPr>
                <w:rFonts w:asciiTheme="majorHAnsi" w:hAnsiTheme="majorHAnsi" w:cs="Times New Roman"/>
                <w:sz w:val="20"/>
                <w:szCs w:val="20"/>
                <w:lang w:val="fr-FR"/>
              </w:rPr>
            </w:pPr>
          </w:p>
        </w:tc>
        <w:tc>
          <w:tcPr>
            <w:tcW w:w="538" w:type="dxa"/>
            <w:shd w:val="clear" w:color="auto" w:fill="auto"/>
          </w:tcPr>
          <w:p w14:paraId="5614743D" w14:textId="77777777" w:rsidR="0025298F" w:rsidRPr="00AA566D" w:rsidRDefault="0025298F" w:rsidP="00D2587D">
            <w:pPr>
              <w:rPr>
                <w:rFonts w:asciiTheme="majorHAnsi" w:hAnsiTheme="majorHAnsi" w:cs="Times New Roman"/>
                <w:sz w:val="20"/>
                <w:szCs w:val="20"/>
                <w:lang w:val="fr-FR"/>
              </w:rPr>
            </w:pPr>
          </w:p>
        </w:tc>
        <w:tc>
          <w:tcPr>
            <w:tcW w:w="505" w:type="dxa"/>
            <w:shd w:val="clear" w:color="auto" w:fill="auto"/>
          </w:tcPr>
          <w:p w14:paraId="69BC3CF9" w14:textId="77777777" w:rsidR="0025298F" w:rsidRPr="00AA566D" w:rsidRDefault="0025298F" w:rsidP="00D2587D">
            <w:pPr>
              <w:rPr>
                <w:rFonts w:asciiTheme="majorHAnsi" w:hAnsiTheme="majorHAnsi" w:cs="Times New Roman"/>
                <w:sz w:val="20"/>
                <w:szCs w:val="20"/>
                <w:lang w:val="fr-FR"/>
              </w:rPr>
            </w:pPr>
          </w:p>
        </w:tc>
      </w:tr>
      <w:tr w:rsidR="0025298F" w:rsidRPr="00AA566D" w14:paraId="05079389" w14:textId="42E2D57C" w:rsidTr="00B8570F">
        <w:trPr>
          <w:trHeight w:val="203"/>
        </w:trPr>
        <w:tc>
          <w:tcPr>
            <w:tcW w:w="1335" w:type="dxa"/>
          </w:tcPr>
          <w:p w14:paraId="78775127" w14:textId="4BD046BA" w:rsidR="0025298F" w:rsidRPr="00AA566D" w:rsidRDefault="0025298F" w:rsidP="00D2587D">
            <w:pPr>
              <w:rPr>
                <w:rFonts w:asciiTheme="majorHAnsi" w:hAnsiTheme="majorHAnsi" w:cs="Times New Roman"/>
                <w:sz w:val="20"/>
                <w:szCs w:val="20"/>
              </w:rPr>
            </w:pPr>
            <w:r w:rsidRPr="00AA566D">
              <w:rPr>
                <w:rFonts w:asciiTheme="majorHAnsi" w:hAnsiTheme="majorHAnsi" w:cs="Times New Roman"/>
                <w:sz w:val="20"/>
                <w:szCs w:val="20"/>
              </w:rPr>
              <w:t xml:space="preserve">Second regional workshop </w:t>
            </w:r>
          </w:p>
        </w:tc>
        <w:tc>
          <w:tcPr>
            <w:tcW w:w="1362" w:type="dxa"/>
            <w:vAlign w:val="center"/>
          </w:tcPr>
          <w:p w14:paraId="5D8125AA" w14:textId="5A44FC91" w:rsidR="0025298F" w:rsidRPr="00AA566D" w:rsidRDefault="0025298F" w:rsidP="00D2587D">
            <w:pPr>
              <w:rPr>
                <w:rFonts w:asciiTheme="majorHAnsi" w:hAnsiTheme="majorHAnsi" w:cs="Times New Roman"/>
                <w:sz w:val="20"/>
                <w:szCs w:val="20"/>
                <w:lang w:val="fr-FR"/>
              </w:rPr>
            </w:pPr>
            <w:r w:rsidRPr="00AA566D">
              <w:rPr>
                <w:rFonts w:asciiTheme="majorHAnsi" w:hAnsiTheme="majorHAnsi" w:cs="Times New Roman"/>
                <w:sz w:val="20"/>
                <w:szCs w:val="20"/>
              </w:rPr>
              <w:t>Regional Task team</w:t>
            </w:r>
          </w:p>
        </w:tc>
        <w:tc>
          <w:tcPr>
            <w:tcW w:w="573" w:type="dxa"/>
            <w:shd w:val="clear" w:color="auto" w:fill="auto"/>
          </w:tcPr>
          <w:p w14:paraId="3E8ED8AE" w14:textId="77777777" w:rsidR="0025298F" w:rsidRPr="00AA566D" w:rsidRDefault="0025298F" w:rsidP="00D2587D">
            <w:pPr>
              <w:rPr>
                <w:rFonts w:asciiTheme="majorHAnsi" w:hAnsiTheme="majorHAnsi" w:cs="Times New Roman"/>
                <w:sz w:val="20"/>
                <w:szCs w:val="20"/>
                <w:lang w:val="fr-FR"/>
              </w:rPr>
            </w:pPr>
          </w:p>
        </w:tc>
        <w:tc>
          <w:tcPr>
            <w:tcW w:w="579" w:type="dxa"/>
            <w:shd w:val="clear" w:color="auto" w:fill="auto"/>
          </w:tcPr>
          <w:p w14:paraId="091B5099" w14:textId="77777777" w:rsidR="0025298F" w:rsidRPr="00AA566D" w:rsidRDefault="0025298F" w:rsidP="00D2587D">
            <w:pPr>
              <w:rPr>
                <w:rFonts w:asciiTheme="majorHAnsi" w:hAnsiTheme="majorHAnsi" w:cs="Times New Roman"/>
                <w:sz w:val="20"/>
                <w:szCs w:val="20"/>
                <w:lang w:val="fr-FR"/>
              </w:rPr>
            </w:pPr>
          </w:p>
        </w:tc>
        <w:tc>
          <w:tcPr>
            <w:tcW w:w="583" w:type="dxa"/>
            <w:shd w:val="clear" w:color="auto" w:fill="auto"/>
          </w:tcPr>
          <w:p w14:paraId="77EFB8B3" w14:textId="77777777" w:rsidR="0025298F" w:rsidRPr="00AA566D" w:rsidRDefault="0025298F" w:rsidP="00D2587D">
            <w:pPr>
              <w:rPr>
                <w:rFonts w:asciiTheme="majorHAnsi" w:hAnsiTheme="majorHAnsi" w:cs="Times New Roman"/>
                <w:sz w:val="20"/>
                <w:szCs w:val="20"/>
                <w:lang w:val="fr-FR"/>
              </w:rPr>
            </w:pPr>
          </w:p>
        </w:tc>
        <w:tc>
          <w:tcPr>
            <w:tcW w:w="494" w:type="dxa"/>
            <w:shd w:val="clear" w:color="auto" w:fill="auto"/>
          </w:tcPr>
          <w:p w14:paraId="428D90EE" w14:textId="77777777" w:rsidR="0025298F" w:rsidRPr="00AA566D" w:rsidRDefault="0025298F" w:rsidP="00D2587D">
            <w:pPr>
              <w:rPr>
                <w:rFonts w:asciiTheme="majorHAnsi" w:hAnsiTheme="majorHAnsi" w:cs="Times New Roman"/>
                <w:sz w:val="20"/>
                <w:szCs w:val="20"/>
                <w:lang w:val="fr-FR"/>
              </w:rPr>
            </w:pPr>
          </w:p>
        </w:tc>
        <w:tc>
          <w:tcPr>
            <w:tcW w:w="450" w:type="dxa"/>
            <w:shd w:val="clear" w:color="auto" w:fill="auto"/>
          </w:tcPr>
          <w:p w14:paraId="4BFDD580" w14:textId="77777777" w:rsidR="0025298F" w:rsidRPr="00AA566D" w:rsidRDefault="0025298F" w:rsidP="00D2587D">
            <w:pPr>
              <w:rPr>
                <w:rFonts w:asciiTheme="majorHAnsi" w:hAnsiTheme="majorHAnsi" w:cs="Times New Roman"/>
                <w:sz w:val="20"/>
                <w:szCs w:val="20"/>
                <w:lang w:val="fr-FR"/>
              </w:rPr>
            </w:pPr>
          </w:p>
        </w:tc>
        <w:tc>
          <w:tcPr>
            <w:tcW w:w="561" w:type="dxa"/>
            <w:shd w:val="clear" w:color="auto" w:fill="auto"/>
          </w:tcPr>
          <w:p w14:paraId="63F45D93" w14:textId="77777777" w:rsidR="0025298F" w:rsidRPr="00AA566D" w:rsidRDefault="0025298F" w:rsidP="00D2587D">
            <w:pPr>
              <w:rPr>
                <w:rFonts w:asciiTheme="majorHAnsi" w:hAnsiTheme="majorHAnsi" w:cs="Times New Roman"/>
                <w:sz w:val="20"/>
                <w:szCs w:val="20"/>
                <w:lang w:val="fr-FR"/>
              </w:rPr>
            </w:pPr>
          </w:p>
        </w:tc>
        <w:tc>
          <w:tcPr>
            <w:tcW w:w="516" w:type="dxa"/>
            <w:shd w:val="clear" w:color="auto" w:fill="auto"/>
          </w:tcPr>
          <w:p w14:paraId="30B6B495" w14:textId="77777777" w:rsidR="0025298F" w:rsidRPr="00AA566D" w:rsidRDefault="0025298F" w:rsidP="00D2587D">
            <w:pPr>
              <w:rPr>
                <w:rFonts w:asciiTheme="majorHAnsi" w:hAnsiTheme="majorHAnsi" w:cs="Times New Roman"/>
                <w:sz w:val="20"/>
                <w:szCs w:val="20"/>
                <w:lang w:val="fr-FR"/>
              </w:rPr>
            </w:pPr>
          </w:p>
        </w:tc>
        <w:tc>
          <w:tcPr>
            <w:tcW w:w="505" w:type="dxa"/>
            <w:shd w:val="clear" w:color="auto" w:fill="7F7F7F" w:themeFill="text1" w:themeFillTint="80"/>
          </w:tcPr>
          <w:p w14:paraId="6C3A8C59" w14:textId="77777777" w:rsidR="0025298F" w:rsidRPr="00AA566D" w:rsidRDefault="0025298F" w:rsidP="00D2587D">
            <w:pPr>
              <w:rPr>
                <w:rFonts w:asciiTheme="majorHAnsi" w:hAnsiTheme="majorHAnsi" w:cs="Times New Roman"/>
                <w:color w:val="00B050"/>
                <w:sz w:val="20"/>
                <w:szCs w:val="20"/>
                <w:lang w:val="fr-FR"/>
              </w:rPr>
            </w:pPr>
          </w:p>
        </w:tc>
        <w:tc>
          <w:tcPr>
            <w:tcW w:w="561" w:type="dxa"/>
            <w:shd w:val="clear" w:color="auto" w:fill="7F7F7F" w:themeFill="text1" w:themeFillTint="80"/>
          </w:tcPr>
          <w:p w14:paraId="1D271278" w14:textId="77777777" w:rsidR="0025298F" w:rsidRPr="00AA566D" w:rsidRDefault="0025298F" w:rsidP="00D2587D">
            <w:pPr>
              <w:rPr>
                <w:rFonts w:asciiTheme="majorHAnsi" w:hAnsiTheme="majorHAnsi" w:cs="Times New Roman"/>
                <w:sz w:val="20"/>
                <w:szCs w:val="20"/>
                <w:lang w:val="fr-FR"/>
              </w:rPr>
            </w:pPr>
          </w:p>
        </w:tc>
        <w:tc>
          <w:tcPr>
            <w:tcW w:w="538" w:type="dxa"/>
            <w:shd w:val="clear" w:color="auto" w:fill="7F7F7F" w:themeFill="text1" w:themeFillTint="80"/>
          </w:tcPr>
          <w:p w14:paraId="7EFC3ADD" w14:textId="77777777" w:rsidR="0025298F" w:rsidRPr="00AA566D" w:rsidRDefault="0025298F" w:rsidP="00D2587D">
            <w:pPr>
              <w:rPr>
                <w:rFonts w:asciiTheme="majorHAnsi" w:hAnsiTheme="majorHAnsi" w:cs="Times New Roman"/>
                <w:sz w:val="20"/>
                <w:szCs w:val="20"/>
                <w:lang w:val="fr-FR"/>
              </w:rPr>
            </w:pPr>
          </w:p>
        </w:tc>
        <w:tc>
          <w:tcPr>
            <w:tcW w:w="505" w:type="dxa"/>
            <w:shd w:val="clear" w:color="auto" w:fill="auto"/>
          </w:tcPr>
          <w:p w14:paraId="2D6B361C" w14:textId="77777777" w:rsidR="0025298F" w:rsidRPr="00AA566D" w:rsidRDefault="0025298F" w:rsidP="00D2587D">
            <w:pPr>
              <w:rPr>
                <w:rFonts w:asciiTheme="majorHAnsi" w:hAnsiTheme="majorHAnsi" w:cs="Times New Roman"/>
                <w:sz w:val="20"/>
                <w:szCs w:val="20"/>
                <w:lang w:val="fr-FR"/>
              </w:rPr>
            </w:pPr>
          </w:p>
        </w:tc>
      </w:tr>
      <w:tr w:rsidR="0025298F" w:rsidRPr="00AA566D" w14:paraId="472AD117" w14:textId="084D71DD" w:rsidTr="00B8570F">
        <w:tc>
          <w:tcPr>
            <w:tcW w:w="1335" w:type="dxa"/>
          </w:tcPr>
          <w:p w14:paraId="75BDC253" w14:textId="6FCAD762" w:rsidR="0025298F" w:rsidRPr="00AA566D" w:rsidRDefault="0025298F" w:rsidP="00D2587D">
            <w:pPr>
              <w:rPr>
                <w:rFonts w:asciiTheme="majorHAnsi" w:hAnsiTheme="majorHAnsi" w:cs="Times New Roman"/>
                <w:sz w:val="20"/>
                <w:szCs w:val="20"/>
              </w:rPr>
            </w:pPr>
            <w:r w:rsidRPr="00AA566D">
              <w:rPr>
                <w:rFonts w:asciiTheme="majorHAnsi" w:hAnsiTheme="majorHAnsi" w:cs="Times New Roman"/>
                <w:sz w:val="20"/>
                <w:szCs w:val="20"/>
              </w:rPr>
              <w:t>Publication and dissemination</w:t>
            </w:r>
          </w:p>
        </w:tc>
        <w:tc>
          <w:tcPr>
            <w:tcW w:w="1362" w:type="dxa"/>
            <w:vAlign w:val="center"/>
          </w:tcPr>
          <w:p w14:paraId="0BD4E065" w14:textId="1122EE4D" w:rsidR="0025298F" w:rsidRPr="00AA566D" w:rsidRDefault="0025298F" w:rsidP="00D2587D">
            <w:pPr>
              <w:rPr>
                <w:rFonts w:asciiTheme="majorHAnsi" w:hAnsiTheme="majorHAnsi" w:cs="Times New Roman"/>
                <w:sz w:val="20"/>
                <w:szCs w:val="20"/>
              </w:rPr>
            </w:pPr>
            <w:r w:rsidRPr="00AA566D">
              <w:rPr>
                <w:rFonts w:asciiTheme="majorHAnsi" w:hAnsiTheme="majorHAnsi" w:cs="Times New Roman"/>
                <w:sz w:val="20"/>
                <w:szCs w:val="20"/>
              </w:rPr>
              <w:t>RCG4-WCA</w:t>
            </w:r>
          </w:p>
        </w:tc>
        <w:tc>
          <w:tcPr>
            <w:tcW w:w="573" w:type="dxa"/>
            <w:shd w:val="clear" w:color="auto" w:fill="auto"/>
          </w:tcPr>
          <w:p w14:paraId="00B12816" w14:textId="77777777" w:rsidR="0025298F" w:rsidRPr="00AA566D" w:rsidRDefault="0025298F" w:rsidP="00D2587D">
            <w:pPr>
              <w:rPr>
                <w:rFonts w:asciiTheme="majorHAnsi" w:hAnsiTheme="majorHAnsi" w:cs="Times New Roman"/>
                <w:sz w:val="20"/>
                <w:szCs w:val="20"/>
              </w:rPr>
            </w:pPr>
          </w:p>
        </w:tc>
        <w:tc>
          <w:tcPr>
            <w:tcW w:w="579" w:type="dxa"/>
            <w:shd w:val="clear" w:color="auto" w:fill="auto"/>
          </w:tcPr>
          <w:p w14:paraId="275B799C" w14:textId="77777777" w:rsidR="0025298F" w:rsidRPr="00AA566D" w:rsidRDefault="0025298F" w:rsidP="00D2587D">
            <w:pPr>
              <w:rPr>
                <w:rFonts w:asciiTheme="majorHAnsi" w:hAnsiTheme="majorHAnsi" w:cs="Times New Roman"/>
                <w:sz w:val="20"/>
                <w:szCs w:val="20"/>
              </w:rPr>
            </w:pPr>
          </w:p>
        </w:tc>
        <w:tc>
          <w:tcPr>
            <w:tcW w:w="583" w:type="dxa"/>
            <w:shd w:val="clear" w:color="auto" w:fill="auto"/>
          </w:tcPr>
          <w:p w14:paraId="7B551030" w14:textId="77777777" w:rsidR="0025298F" w:rsidRPr="00AA566D" w:rsidRDefault="0025298F" w:rsidP="00D2587D">
            <w:pPr>
              <w:rPr>
                <w:rFonts w:asciiTheme="majorHAnsi" w:hAnsiTheme="majorHAnsi" w:cs="Times New Roman"/>
                <w:sz w:val="20"/>
                <w:szCs w:val="20"/>
              </w:rPr>
            </w:pPr>
          </w:p>
        </w:tc>
        <w:tc>
          <w:tcPr>
            <w:tcW w:w="494" w:type="dxa"/>
            <w:shd w:val="clear" w:color="auto" w:fill="auto"/>
          </w:tcPr>
          <w:p w14:paraId="095B07D3" w14:textId="77777777" w:rsidR="0025298F" w:rsidRPr="00AA566D" w:rsidRDefault="0025298F" w:rsidP="00D2587D">
            <w:pPr>
              <w:rPr>
                <w:rFonts w:asciiTheme="majorHAnsi" w:hAnsiTheme="majorHAnsi" w:cs="Times New Roman"/>
                <w:sz w:val="20"/>
                <w:szCs w:val="20"/>
              </w:rPr>
            </w:pPr>
          </w:p>
        </w:tc>
        <w:tc>
          <w:tcPr>
            <w:tcW w:w="450" w:type="dxa"/>
            <w:shd w:val="clear" w:color="auto" w:fill="auto"/>
          </w:tcPr>
          <w:p w14:paraId="0447E79F" w14:textId="77777777" w:rsidR="0025298F" w:rsidRPr="00AA566D" w:rsidRDefault="0025298F" w:rsidP="00D2587D">
            <w:pPr>
              <w:rPr>
                <w:rFonts w:asciiTheme="majorHAnsi" w:hAnsiTheme="majorHAnsi" w:cs="Times New Roman"/>
                <w:sz w:val="20"/>
                <w:szCs w:val="20"/>
              </w:rPr>
            </w:pPr>
          </w:p>
        </w:tc>
        <w:tc>
          <w:tcPr>
            <w:tcW w:w="561" w:type="dxa"/>
            <w:shd w:val="clear" w:color="auto" w:fill="auto"/>
          </w:tcPr>
          <w:p w14:paraId="558D7A8E" w14:textId="77777777" w:rsidR="0025298F" w:rsidRPr="00AA566D" w:rsidRDefault="0025298F" w:rsidP="00D2587D">
            <w:pPr>
              <w:rPr>
                <w:rFonts w:asciiTheme="majorHAnsi" w:hAnsiTheme="majorHAnsi" w:cs="Times New Roman"/>
                <w:sz w:val="20"/>
                <w:szCs w:val="20"/>
              </w:rPr>
            </w:pPr>
          </w:p>
        </w:tc>
        <w:tc>
          <w:tcPr>
            <w:tcW w:w="516" w:type="dxa"/>
            <w:shd w:val="clear" w:color="auto" w:fill="auto"/>
          </w:tcPr>
          <w:p w14:paraId="2FA3717A" w14:textId="77777777" w:rsidR="0025298F" w:rsidRPr="00AA566D" w:rsidRDefault="0025298F" w:rsidP="00D2587D">
            <w:pPr>
              <w:rPr>
                <w:rFonts w:asciiTheme="majorHAnsi" w:hAnsiTheme="majorHAnsi" w:cs="Times New Roman"/>
                <w:sz w:val="20"/>
                <w:szCs w:val="20"/>
              </w:rPr>
            </w:pPr>
          </w:p>
        </w:tc>
        <w:tc>
          <w:tcPr>
            <w:tcW w:w="505" w:type="dxa"/>
            <w:shd w:val="clear" w:color="auto" w:fill="auto"/>
          </w:tcPr>
          <w:p w14:paraId="2C4531A2" w14:textId="77777777" w:rsidR="0025298F" w:rsidRPr="00AA566D" w:rsidRDefault="0025298F" w:rsidP="00D2587D">
            <w:pPr>
              <w:rPr>
                <w:rFonts w:asciiTheme="majorHAnsi" w:hAnsiTheme="majorHAnsi" w:cs="Times New Roman"/>
                <w:sz w:val="20"/>
                <w:szCs w:val="20"/>
              </w:rPr>
            </w:pPr>
          </w:p>
        </w:tc>
        <w:tc>
          <w:tcPr>
            <w:tcW w:w="561" w:type="dxa"/>
            <w:shd w:val="clear" w:color="auto" w:fill="auto"/>
          </w:tcPr>
          <w:p w14:paraId="758DE54C" w14:textId="77777777" w:rsidR="0025298F" w:rsidRPr="00AA566D" w:rsidRDefault="0025298F" w:rsidP="00D2587D">
            <w:pPr>
              <w:rPr>
                <w:rFonts w:asciiTheme="majorHAnsi" w:hAnsiTheme="majorHAnsi" w:cs="Times New Roman"/>
                <w:sz w:val="20"/>
                <w:szCs w:val="20"/>
              </w:rPr>
            </w:pPr>
          </w:p>
        </w:tc>
        <w:tc>
          <w:tcPr>
            <w:tcW w:w="538" w:type="dxa"/>
            <w:shd w:val="clear" w:color="auto" w:fill="7F7F7F" w:themeFill="text1" w:themeFillTint="80"/>
          </w:tcPr>
          <w:p w14:paraId="5FA27F75" w14:textId="77777777" w:rsidR="0025298F" w:rsidRPr="00AA566D" w:rsidRDefault="0025298F" w:rsidP="00D2587D">
            <w:pPr>
              <w:rPr>
                <w:rFonts w:asciiTheme="majorHAnsi" w:hAnsiTheme="majorHAnsi" w:cs="Times New Roman"/>
                <w:sz w:val="20"/>
                <w:szCs w:val="20"/>
              </w:rPr>
            </w:pPr>
          </w:p>
        </w:tc>
        <w:tc>
          <w:tcPr>
            <w:tcW w:w="505" w:type="dxa"/>
            <w:shd w:val="clear" w:color="auto" w:fill="7F7F7F" w:themeFill="text1" w:themeFillTint="80"/>
          </w:tcPr>
          <w:p w14:paraId="7800863D" w14:textId="77777777" w:rsidR="0025298F" w:rsidRPr="00AA566D" w:rsidRDefault="0025298F" w:rsidP="00D2587D">
            <w:pPr>
              <w:rPr>
                <w:rFonts w:asciiTheme="majorHAnsi" w:hAnsiTheme="majorHAnsi" w:cs="Times New Roman"/>
                <w:sz w:val="20"/>
                <w:szCs w:val="20"/>
              </w:rPr>
            </w:pPr>
          </w:p>
        </w:tc>
      </w:tr>
    </w:tbl>
    <w:p w14:paraId="527781BE" w14:textId="77777777" w:rsidR="00771356" w:rsidRPr="00AA566D" w:rsidRDefault="00771356" w:rsidP="00D2587D">
      <w:pPr>
        <w:pStyle w:val="ListParagraph"/>
        <w:spacing w:after="0" w:line="240" w:lineRule="auto"/>
        <w:ind w:left="360"/>
        <w:jc w:val="both"/>
        <w:rPr>
          <w:rFonts w:asciiTheme="majorHAnsi" w:hAnsiTheme="majorHAnsi" w:cs="Times New Roman"/>
          <w:sz w:val="20"/>
          <w:szCs w:val="20"/>
          <w:lang w:val="en-US"/>
        </w:rPr>
      </w:pPr>
    </w:p>
    <w:p w14:paraId="55C91149" w14:textId="4E09BB70" w:rsidR="006D5E53" w:rsidRPr="00AA566D" w:rsidRDefault="006D5E53" w:rsidP="00D2587D">
      <w:pPr>
        <w:numPr>
          <w:ilvl w:val="0"/>
          <w:numId w:val="2"/>
        </w:numPr>
        <w:tabs>
          <w:tab w:val="left" w:pos="426"/>
        </w:tabs>
        <w:spacing w:after="0" w:line="240" w:lineRule="auto"/>
        <w:ind w:left="142" w:firstLine="0"/>
        <w:jc w:val="both"/>
        <w:rPr>
          <w:rFonts w:asciiTheme="majorHAnsi" w:hAnsiTheme="majorHAnsi" w:cs="Times New Roman"/>
          <w:b/>
          <w:color w:val="2E74B5" w:themeColor="accent1" w:themeShade="BF"/>
          <w:sz w:val="24"/>
          <w:szCs w:val="24"/>
          <w:u w:val="single"/>
          <w:lang w:val="en-US"/>
        </w:rPr>
      </w:pPr>
      <w:r w:rsidRPr="00AA566D">
        <w:rPr>
          <w:rFonts w:asciiTheme="majorHAnsi" w:hAnsiTheme="majorHAnsi" w:cs="Times New Roman"/>
          <w:b/>
          <w:color w:val="2E74B5" w:themeColor="accent1" w:themeShade="BF"/>
          <w:sz w:val="24"/>
          <w:szCs w:val="24"/>
          <w:u w:val="single"/>
          <w:lang w:val="en-US"/>
        </w:rPr>
        <w:t>BUDGET</w:t>
      </w:r>
    </w:p>
    <w:p w14:paraId="5C0A75CE" w14:textId="77777777" w:rsidR="00B8570F" w:rsidRPr="00AA566D" w:rsidRDefault="00B8570F" w:rsidP="00D2587D">
      <w:pPr>
        <w:spacing w:after="0" w:line="240" w:lineRule="auto"/>
        <w:jc w:val="both"/>
        <w:rPr>
          <w:rFonts w:asciiTheme="majorHAnsi" w:hAnsiTheme="majorHAnsi" w:cs="Times New Roman"/>
          <w:sz w:val="24"/>
          <w:szCs w:val="24"/>
          <w:lang w:val="en-US"/>
        </w:rPr>
      </w:pPr>
    </w:p>
    <w:p w14:paraId="108B8588" w14:textId="77777777" w:rsidR="003B2A29" w:rsidRDefault="00B8570F" w:rsidP="00D2587D">
      <w:pPr>
        <w:spacing w:after="0" w:line="240" w:lineRule="auto"/>
        <w:jc w:val="both"/>
        <w:rPr>
          <w:rFonts w:asciiTheme="majorHAnsi" w:hAnsiTheme="majorHAnsi" w:cs="Times New Roman"/>
          <w:sz w:val="24"/>
          <w:szCs w:val="24"/>
          <w:lang w:val="en-US"/>
        </w:rPr>
      </w:pPr>
      <w:r w:rsidRPr="00AA566D">
        <w:rPr>
          <w:rFonts w:asciiTheme="majorHAnsi" w:hAnsiTheme="majorHAnsi" w:cs="Times New Roman"/>
          <w:sz w:val="24"/>
          <w:szCs w:val="24"/>
          <w:lang w:val="en-US"/>
        </w:rPr>
        <w:t xml:space="preserve">The detailed budget will </w:t>
      </w:r>
      <w:r w:rsidR="0039374C" w:rsidRPr="00AA566D">
        <w:rPr>
          <w:rFonts w:asciiTheme="majorHAnsi" w:hAnsiTheme="majorHAnsi" w:cs="Times New Roman"/>
          <w:sz w:val="24"/>
          <w:szCs w:val="24"/>
          <w:lang w:val="en-US"/>
        </w:rPr>
        <w:t>be estimated by the RCG4-WCA</w:t>
      </w:r>
      <w:r w:rsidR="00F54D8C" w:rsidRPr="00AA566D">
        <w:rPr>
          <w:rFonts w:asciiTheme="majorHAnsi" w:hAnsiTheme="majorHAnsi" w:cs="Times New Roman"/>
          <w:sz w:val="24"/>
          <w:szCs w:val="24"/>
          <w:lang w:val="en-US"/>
        </w:rPr>
        <w:t xml:space="preserve"> depending on the number of country case studies to be included in the publication</w:t>
      </w:r>
      <w:r w:rsidRPr="00AA566D">
        <w:rPr>
          <w:rFonts w:asciiTheme="majorHAnsi" w:hAnsiTheme="majorHAnsi" w:cs="Times New Roman"/>
          <w:sz w:val="24"/>
          <w:szCs w:val="24"/>
          <w:lang w:val="en-US"/>
        </w:rPr>
        <w:t xml:space="preserve">. </w:t>
      </w:r>
      <w:r w:rsidR="003B2A29">
        <w:rPr>
          <w:rFonts w:asciiTheme="majorHAnsi" w:hAnsiTheme="majorHAnsi" w:cs="Times New Roman"/>
          <w:sz w:val="24"/>
          <w:szCs w:val="24"/>
          <w:lang w:val="en-US"/>
        </w:rPr>
        <w:t>Ideally the majority of</w:t>
      </w:r>
      <w:r w:rsidR="0039374C" w:rsidRPr="00AA566D">
        <w:rPr>
          <w:rFonts w:asciiTheme="majorHAnsi" w:hAnsiTheme="majorHAnsi" w:cs="Times New Roman"/>
          <w:sz w:val="24"/>
          <w:szCs w:val="24"/>
          <w:lang w:val="en-US"/>
        </w:rPr>
        <w:t xml:space="preserve"> countries</w:t>
      </w:r>
      <w:r w:rsidR="003B2A29">
        <w:rPr>
          <w:rFonts w:asciiTheme="majorHAnsi" w:hAnsiTheme="majorHAnsi" w:cs="Times New Roman"/>
          <w:sz w:val="24"/>
          <w:szCs w:val="24"/>
          <w:lang w:val="en-US"/>
        </w:rPr>
        <w:t xml:space="preserve"> will be included</w:t>
      </w:r>
      <w:r w:rsidR="0039374C" w:rsidRPr="00AA566D">
        <w:rPr>
          <w:rFonts w:asciiTheme="majorHAnsi" w:hAnsiTheme="majorHAnsi" w:cs="Times New Roman"/>
          <w:sz w:val="24"/>
          <w:szCs w:val="24"/>
          <w:lang w:val="en-US"/>
        </w:rPr>
        <w:t xml:space="preserve">. </w:t>
      </w:r>
    </w:p>
    <w:p w14:paraId="07EDF9AD" w14:textId="77777777" w:rsidR="003B2A29" w:rsidRDefault="003B2A29" w:rsidP="00D2587D">
      <w:pPr>
        <w:spacing w:after="0" w:line="240" w:lineRule="auto"/>
        <w:jc w:val="both"/>
        <w:rPr>
          <w:rFonts w:asciiTheme="majorHAnsi" w:hAnsiTheme="majorHAnsi" w:cs="Times New Roman"/>
          <w:sz w:val="24"/>
          <w:szCs w:val="24"/>
          <w:lang w:val="en-US"/>
        </w:rPr>
      </w:pPr>
    </w:p>
    <w:p w14:paraId="4DE4798E" w14:textId="2FE539FA" w:rsidR="00153795" w:rsidRPr="00AA566D" w:rsidRDefault="0039374C" w:rsidP="00D2587D">
      <w:pPr>
        <w:spacing w:after="0" w:line="240" w:lineRule="auto"/>
        <w:jc w:val="both"/>
        <w:rPr>
          <w:rFonts w:asciiTheme="majorHAnsi" w:hAnsiTheme="majorHAnsi" w:cs="Times New Roman"/>
          <w:b/>
          <w:sz w:val="24"/>
          <w:szCs w:val="24"/>
          <w:lang w:val="en-US"/>
        </w:rPr>
      </w:pPr>
      <w:r w:rsidRPr="00AA566D">
        <w:rPr>
          <w:rFonts w:asciiTheme="majorHAnsi" w:hAnsiTheme="majorHAnsi" w:cs="Times New Roman"/>
          <w:sz w:val="24"/>
          <w:szCs w:val="24"/>
          <w:lang w:val="en-US"/>
        </w:rPr>
        <w:t xml:space="preserve">A tentative budget for five countries </w:t>
      </w:r>
      <w:r w:rsidR="00B8570F" w:rsidRPr="00AA566D">
        <w:rPr>
          <w:rFonts w:asciiTheme="majorHAnsi" w:hAnsiTheme="majorHAnsi" w:cs="Times New Roman"/>
          <w:sz w:val="24"/>
          <w:szCs w:val="24"/>
          <w:lang w:val="en-US"/>
        </w:rPr>
        <w:t xml:space="preserve">was estimated around </w:t>
      </w:r>
      <w:r w:rsidR="00B8570F" w:rsidRPr="00AA566D">
        <w:rPr>
          <w:rFonts w:asciiTheme="majorHAnsi" w:hAnsiTheme="majorHAnsi" w:cs="Times New Roman"/>
          <w:b/>
          <w:sz w:val="24"/>
          <w:szCs w:val="24"/>
          <w:lang w:val="en-US"/>
        </w:rPr>
        <w:t>12</w:t>
      </w:r>
      <w:r w:rsidR="006D5E53" w:rsidRPr="00AA566D">
        <w:rPr>
          <w:rFonts w:asciiTheme="majorHAnsi" w:hAnsiTheme="majorHAnsi" w:cs="Times New Roman"/>
          <w:b/>
          <w:sz w:val="24"/>
          <w:szCs w:val="24"/>
          <w:lang w:val="en-US"/>
        </w:rPr>
        <w:t>0</w:t>
      </w:r>
      <w:r w:rsidR="00B8570F" w:rsidRPr="00AA566D">
        <w:rPr>
          <w:rFonts w:asciiTheme="majorHAnsi" w:hAnsiTheme="majorHAnsi" w:cs="Times New Roman"/>
          <w:b/>
          <w:sz w:val="24"/>
          <w:szCs w:val="24"/>
          <w:lang w:val="en-US"/>
        </w:rPr>
        <w:t xml:space="preserve"> </w:t>
      </w:r>
      <w:r w:rsidR="006D5E53" w:rsidRPr="00AA566D">
        <w:rPr>
          <w:rFonts w:asciiTheme="majorHAnsi" w:hAnsiTheme="majorHAnsi" w:cs="Times New Roman"/>
          <w:b/>
          <w:sz w:val="24"/>
          <w:szCs w:val="24"/>
          <w:lang w:val="en-US"/>
        </w:rPr>
        <w:t>000 USD</w:t>
      </w:r>
      <w:r w:rsidR="00B8570F" w:rsidRPr="00AA566D">
        <w:rPr>
          <w:rFonts w:asciiTheme="majorHAnsi" w:hAnsiTheme="majorHAnsi" w:cs="Times New Roman"/>
          <w:b/>
          <w:sz w:val="24"/>
          <w:szCs w:val="24"/>
          <w:lang w:val="en-US"/>
        </w:rPr>
        <w:t>.</w:t>
      </w:r>
    </w:p>
    <w:sectPr w:rsidR="00153795" w:rsidRPr="00AA56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5C41D" w14:textId="77777777" w:rsidR="0067580D" w:rsidRDefault="0067580D" w:rsidP="009578F9">
      <w:pPr>
        <w:spacing w:after="0" w:line="240" w:lineRule="auto"/>
      </w:pPr>
      <w:r>
        <w:separator/>
      </w:r>
    </w:p>
  </w:endnote>
  <w:endnote w:type="continuationSeparator" w:id="0">
    <w:p w14:paraId="1A62F3C0" w14:textId="77777777" w:rsidR="0067580D" w:rsidRDefault="0067580D" w:rsidP="0095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9724" w14:textId="3E5A1991" w:rsidR="001B0035" w:rsidRDefault="001B0035">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B2A29">
      <w:rPr>
        <w:caps/>
        <w:noProof/>
        <w:color w:val="5B9BD5" w:themeColor="accent1"/>
      </w:rPr>
      <w:t>1</w:t>
    </w:r>
    <w:r>
      <w:rPr>
        <w:caps/>
        <w:color w:val="5B9BD5" w:themeColor="accent1"/>
      </w:rPr>
      <w:fldChar w:fldCharType="end"/>
    </w:r>
  </w:p>
  <w:p w14:paraId="63D11BB7" w14:textId="77777777" w:rsidR="001B0035" w:rsidRDefault="001B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5989" w14:textId="77777777" w:rsidR="0067580D" w:rsidRDefault="0067580D" w:rsidP="009578F9">
      <w:pPr>
        <w:spacing w:after="0" w:line="240" w:lineRule="auto"/>
      </w:pPr>
      <w:r>
        <w:separator/>
      </w:r>
    </w:p>
  </w:footnote>
  <w:footnote w:type="continuationSeparator" w:id="0">
    <w:p w14:paraId="25CF7FFE" w14:textId="77777777" w:rsidR="0067580D" w:rsidRDefault="0067580D" w:rsidP="009578F9">
      <w:pPr>
        <w:spacing w:after="0" w:line="240" w:lineRule="auto"/>
      </w:pPr>
      <w:r>
        <w:continuationSeparator/>
      </w:r>
    </w:p>
  </w:footnote>
  <w:footnote w:id="1">
    <w:p w14:paraId="555ADA0E" w14:textId="77777777" w:rsidR="001B0035" w:rsidRPr="002C0BC3" w:rsidRDefault="001B0035" w:rsidP="009578F9">
      <w:pPr>
        <w:pStyle w:val="FootnoteText"/>
        <w:jc w:val="both"/>
        <w:rPr>
          <w:rFonts w:asciiTheme="majorHAnsi" w:hAnsiTheme="majorHAnsi" w:cs="Times New Roman"/>
          <w:lang w:val="en-US"/>
        </w:rPr>
      </w:pPr>
      <w:r w:rsidRPr="002C0BC3">
        <w:rPr>
          <w:rStyle w:val="FootnoteReference"/>
          <w:rFonts w:asciiTheme="majorHAnsi" w:hAnsiTheme="majorHAnsi" w:cs="Times New Roman"/>
          <w:lang w:val="en-US"/>
        </w:rPr>
        <w:footnoteRef/>
      </w:r>
      <w:r w:rsidRPr="002C0BC3">
        <w:rPr>
          <w:rFonts w:asciiTheme="majorHAnsi" w:hAnsiTheme="majorHAnsi" w:cs="Times New Roman"/>
          <w:lang w:val="en-US"/>
        </w:rPr>
        <w:t xml:space="preserve"> Calculations based on the United Nations Population data show that in 2015, young under 25 years account for 62.8% of the population of Sub-Saharan Africa, compared to 42.3% for the world. Similar observation applies for Western and Central Africa, where 63.7% of the population are under 25 years. Calculations also show that this picture will not change a lot over the time, at least until 2030. (cf. data from </w:t>
      </w:r>
      <w:r w:rsidRPr="002C0BC3">
        <w:rPr>
          <w:rFonts w:asciiTheme="majorHAnsi" w:hAnsiTheme="majorHAnsi" w:cs="Times New Roman"/>
          <w:sz w:val="18"/>
          <w:szCs w:val="18"/>
          <w:lang w:val="en-US"/>
        </w:rPr>
        <w:t>United Nations, Department of Economic and Social Affairs, Population Division, World Population Prospects, the 2017 Revision, custom data acquired via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A45"/>
    <w:multiLevelType w:val="hybridMultilevel"/>
    <w:tmpl w:val="02AE0BBE"/>
    <w:lvl w:ilvl="0" w:tplc="04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0C7D"/>
    <w:multiLevelType w:val="multilevel"/>
    <w:tmpl w:val="77EABA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766C8"/>
    <w:multiLevelType w:val="multilevel"/>
    <w:tmpl w:val="8D0C7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D04711"/>
    <w:multiLevelType w:val="hybridMultilevel"/>
    <w:tmpl w:val="33B4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247E1"/>
    <w:multiLevelType w:val="hybridMultilevel"/>
    <w:tmpl w:val="EE3059F6"/>
    <w:lvl w:ilvl="0" w:tplc="8E0AA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85391"/>
    <w:multiLevelType w:val="hybridMultilevel"/>
    <w:tmpl w:val="69044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27F3A"/>
    <w:multiLevelType w:val="hybridMultilevel"/>
    <w:tmpl w:val="3FEE1736"/>
    <w:lvl w:ilvl="0" w:tplc="04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15C24"/>
    <w:multiLevelType w:val="multilevel"/>
    <w:tmpl w:val="4B22D0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4B5052"/>
    <w:multiLevelType w:val="hybridMultilevel"/>
    <w:tmpl w:val="238E5038"/>
    <w:lvl w:ilvl="0" w:tplc="8E0AA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25883"/>
    <w:multiLevelType w:val="hybridMultilevel"/>
    <w:tmpl w:val="87D0A164"/>
    <w:lvl w:ilvl="0" w:tplc="2A2AD0D8">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E504986"/>
    <w:multiLevelType w:val="hybridMultilevel"/>
    <w:tmpl w:val="CDFE14F0"/>
    <w:lvl w:ilvl="0" w:tplc="8E0AAA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7C09E0"/>
    <w:multiLevelType w:val="hybridMultilevel"/>
    <w:tmpl w:val="044AC2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96195A"/>
    <w:multiLevelType w:val="hybridMultilevel"/>
    <w:tmpl w:val="C192B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D27683"/>
    <w:multiLevelType w:val="hybridMultilevel"/>
    <w:tmpl w:val="5144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86333A"/>
    <w:multiLevelType w:val="hybridMultilevel"/>
    <w:tmpl w:val="28E42C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730207"/>
    <w:multiLevelType w:val="hybridMultilevel"/>
    <w:tmpl w:val="00A62868"/>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C770E8A"/>
    <w:multiLevelType w:val="multilevel"/>
    <w:tmpl w:val="026C40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A20CB4"/>
    <w:multiLevelType w:val="hybridMultilevel"/>
    <w:tmpl w:val="EA7C5A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70913EDB"/>
    <w:multiLevelType w:val="hybridMultilevel"/>
    <w:tmpl w:val="92BCB37E"/>
    <w:lvl w:ilvl="0" w:tplc="040C001B">
      <w:start w:val="1"/>
      <w:numFmt w:val="lowerRoman"/>
      <w:lvlText w:val="%1."/>
      <w:lvlJc w:val="right"/>
      <w:pPr>
        <w:ind w:left="1080" w:hanging="360"/>
      </w:p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75FB785A"/>
    <w:multiLevelType w:val="hybridMultilevel"/>
    <w:tmpl w:val="DE809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365580"/>
    <w:multiLevelType w:val="hybridMultilevel"/>
    <w:tmpl w:val="F844EB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520C98"/>
    <w:multiLevelType w:val="hybridMultilevel"/>
    <w:tmpl w:val="3490D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5A3DCB"/>
    <w:multiLevelType w:val="hybridMultilevel"/>
    <w:tmpl w:val="990C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C43E7"/>
    <w:multiLevelType w:val="hybridMultilevel"/>
    <w:tmpl w:val="9328DC84"/>
    <w:lvl w:ilvl="0" w:tplc="8E0AA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20"/>
  </w:num>
  <w:num w:numId="5">
    <w:abstractNumId w:val="12"/>
  </w:num>
  <w:num w:numId="6">
    <w:abstractNumId w:val="19"/>
  </w:num>
  <w:num w:numId="7">
    <w:abstractNumId w:val="21"/>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
  </w:num>
  <w:num w:numId="11">
    <w:abstractNumId w:val="2"/>
  </w:num>
  <w:num w:numId="12">
    <w:abstractNumId w:val="16"/>
  </w:num>
  <w:num w:numId="13">
    <w:abstractNumId w:val="7"/>
  </w:num>
  <w:num w:numId="14">
    <w:abstractNumId w:val="13"/>
  </w:num>
  <w:num w:numId="15">
    <w:abstractNumId w:val="5"/>
  </w:num>
  <w:num w:numId="16">
    <w:abstractNumId w:val="17"/>
  </w:num>
  <w:num w:numId="17">
    <w:abstractNumId w:val="3"/>
  </w:num>
  <w:num w:numId="18">
    <w:abstractNumId w:val="22"/>
  </w:num>
  <w:num w:numId="19">
    <w:abstractNumId w:val="0"/>
  </w:num>
  <w:num w:numId="20">
    <w:abstractNumId w:val="6"/>
  </w:num>
  <w:num w:numId="21">
    <w:abstractNumId w:val="4"/>
  </w:num>
  <w:num w:numId="22">
    <w:abstractNumId w:val="10"/>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CE"/>
    <w:rsid w:val="000161B7"/>
    <w:rsid w:val="00040581"/>
    <w:rsid w:val="00045E76"/>
    <w:rsid w:val="00090515"/>
    <w:rsid w:val="00092927"/>
    <w:rsid w:val="000E31CE"/>
    <w:rsid w:val="000F03C9"/>
    <w:rsid w:val="00153795"/>
    <w:rsid w:val="001B0035"/>
    <w:rsid w:val="001D59F5"/>
    <w:rsid w:val="0025298F"/>
    <w:rsid w:val="00252BCB"/>
    <w:rsid w:val="00260DAB"/>
    <w:rsid w:val="002628B4"/>
    <w:rsid w:val="0026518F"/>
    <w:rsid w:val="002B6372"/>
    <w:rsid w:val="002C0BC3"/>
    <w:rsid w:val="002C47DE"/>
    <w:rsid w:val="002F0876"/>
    <w:rsid w:val="00352253"/>
    <w:rsid w:val="00377130"/>
    <w:rsid w:val="0039374C"/>
    <w:rsid w:val="003B2A29"/>
    <w:rsid w:val="003E3396"/>
    <w:rsid w:val="00403A15"/>
    <w:rsid w:val="004117AD"/>
    <w:rsid w:val="005153CB"/>
    <w:rsid w:val="00534735"/>
    <w:rsid w:val="005378CA"/>
    <w:rsid w:val="005432F7"/>
    <w:rsid w:val="005448FE"/>
    <w:rsid w:val="00591C4A"/>
    <w:rsid w:val="005E1C7A"/>
    <w:rsid w:val="00603750"/>
    <w:rsid w:val="0063226B"/>
    <w:rsid w:val="00632C01"/>
    <w:rsid w:val="00643CB3"/>
    <w:rsid w:val="0067580D"/>
    <w:rsid w:val="006A1360"/>
    <w:rsid w:val="006A373A"/>
    <w:rsid w:val="006D5E53"/>
    <w:rsid w:val="006F36A5"/>
    <w:rsid w:val="0071313F"/>
    <w:rsid w:val="007347D3"/>
    <w:rsid w:val="00740F61"/>
    <w:rsid w:val="00764214"/>
    <w:rsid w:val="00771356"/>
    <w:rsid w:val="007B1FD9"/>
    <w:rsid w:val="007B3899"/>
    <w:rsid w:val="007C1F3B"/>
    <w:rsid w:val="00833038"/>
    <w:rsid w:val="008410D8"/>
    <w:rsid w:val="008444FC"/>
    <w:rsid w:val="00844956"/>
    <w:rsid w:val="008E0A2E"/>
    <w:rsid w:val="008E2661"/>
    <w:rsid w:val="009578F9"/>
    <w:rsid w:val="009849CD"/>
    <w:rsid w:val="00984A67"/>
    <w:rsid w:val="009A2847"/>
    <w:rsid w:val="00A22147"/>
    <w:rsid w:val="00AA566D"/>
    <w:rsid w:val="00AB78E2"/>
    <w:rsid w:val="00AD4839"/>
    <w:rsid w:val="00B371E5"/>
    <w:rsid w:val="00B8570F"/>
    <w:rsid w:val="00BB0006"/>
    <w:rsid w:val="00BF59CE"/>
    <w:rsid w:val="00C169A6"/>
    <w:rsid w:val="00C3323A"/>
    <w:rsid w:val="00C66D6D"/>
    <w:rsid w:val="00C7451F"/>
    <w:rsid w:val="00C82235"/>
    <w:rsid w:val="00CD28BE"/>
    <w:rsid w:val="00CE336A"/>
    <w:rsid w:val="00CE3D2F"/>
    <w:rsid w:val="00D2587D"/>
    <w:rsid w:val="00D411E8"/>
    <w:rsid w:val="00DC3CF3"/>
    <w:rsid w:val="00E328F1"/>
    <w:rsid w:val="00E35FED"/>
    <w:rsid w:val="00E53706"/>
    <w:rsid w:val="00E54907"/>
    <w:rsid w:val="00E77A21"/>
    <w:rsid w:val="00E9652B"/>
    <w:rsid w:val="00ED3A3E"/>
    <w:rsid w:val="00F33FBB"/>
    <w:rsid w:val="00F412A0"/>
    <w:rsid w:val="00F477DF"/>
    <w:rsid w:val="00F51B51"/>
    <w:rsid w:val="00F54D8C"/>
    <w:rsid w:val="00F6641C"/>
    <w:rsid w:val="00F72D11"/>
    <w:rsid w:val="00FA0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E45D"/>
  <w15:chartTrackingRefBased/>
  <w15:docId w15:val="{356A5F32-9A3D-4B33-BB51-E663C9F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7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F9"/>
    <w:rPr>
      <w:sz w:val="20"/>
      <w:szCs w:val="20"/>
    </w:rPr>
  </w:style>
  <w:style w:type="character" w:styleId="FootnoteReference">
    <w:name w:val="footnote reference"/>
    <w:basedOn w:val="DefaultParagraphFont"/>
    <w:uiPriority w:val="99"/>
    <w:semiHidden/>
    <w:unhideWhenUsed/>
    <w:rsid w:val="009578F9"/>
    <w:rPr>
      <w:vertAlign w:val="superscript"/>
    </w:rPr>
  </w:style>
  <w:style w:type="paragraph" w:styleId="Header">
    <w:name w:val="header"/>
    <w:basedOn w:val="Normal"/>
    <w:link w:val="HeaderChar"/>
    <w:uiPriority w:val="99"/>
    <w:unhideWhenUsed/>
    <w:rsid w:val="006F3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6A5"/>
  </w:style>
  <w:style w:type="paragraph" w:styleId="Footer">
    <w:name w:val="footer"/>
    <w:basedOn w:val="Normal"/>
    <w:link w:val="FooterChar"/>
    <w:uiPriority w:val="99"/>
    <w:unhideWhenUsed/>
    <w:rsid w:val="006F3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6A5"/>
  </w:style>
  <w:style w:type="paragraph" w:styleId="ListParagraph">
    <w:name w:val="List Paragraph"/>
    <w:basedOn w:val="Normal"/>
    <w:uiPriority w:val="34"/>
    <w:qFormat/>
    <w:rsid w:val="007347D3"/>
    <w:pPr>
      <w:ind w:left="720"/>
      <w:contextualSpacing/>
    </w:pPr>
  </w:style>
  <w:style w:type="character" w:styleId="Hyperlink">
    <w:name w:val="Hyperlink"/>
    <w:basedOn w:val="DefaultParagraphFont"/>
    <w:uiPriority w:val="99"/>
    <w:semiHidden/>
    <w:unhideWhenUsed/>
    <w:rsid w:val="00B371E5"/>
    <w:rPr>
      <w:color w:val="0000FF"/>
      <w:u w:val="single"/>
    </w:rPr>
  </w:style>
  <w:style w:type="character" w:styleId="CommentReference">
    <w:name w:val="annotation reference"/>
    <w:basedOn w:val="DefaultParagraphFont"/>
    <w:uiPriority w:val="99"/>
    <w:semiHidden/>
    <w:unhideWhenUsed/>
    <w:rsid w:val="00CD28BE"/>
    <w:rPr>
      <w:sz w:val="16"/>
      <w:szCs w:val="16"/>
    </w:rPr>
  </w:style>
  <w:style w:type="paragraph" w:styleId="CommentText">
    <w:name w:val="annotation text"/>
    <w:basedOn w:val="Normal"/>
    <w:link w:val="CommentTextChar"/>
    <w:uiPriority w:val="99"/>
    <w:semiHidden/>
    <w:unhideWhenUsed/>
    <w:rsid w:val="00CD28BE"/>
    <w:pPr>
      <w:spacing w:line="240" w:lineRule="auto"/>
    </w:pPr>
    <w:rPr>
      <w:sz w:val="20"/>
      <w:szCs w:val="20"/>
    </w:rPr>
  </w:style>
  <w:style w:type="character" w:customStyle="1" w:styleId="CommentTextChar">
    <w:name w:val="Comment Text Char"/>
    <w:basedOn w:val="DefaultParagraphFont"/>
    <w:link w:val="CommentText"/>
    <w:uiPriority w:val="99"/>
    <w:semiHidden/>
    <w:rsid w:val="00CD28BE"/>
    <w:rPr>
      <w:sz w:val="20"/>
      <w:szCs w:val="20"/>
    </w:rPr>
  </w:style>
  <w:style w:type="paragraph" w:styleId="CommentSubject">
    <w:name w:val="annotation subject"/>
    <w:basedOn w:val="CommentText"/>
    <w:next w:val="CommentText"/>
    <w:link w:val="CommentSubjectChar"/>
    <w:uiPriority w:val="99"/>
    <w:semiHidden/>
    <w:unhideWhenUsed/>
    <w:rsid w:val="00CD28BE"/>
    <w:rPr>
      <w:b/>
      <w:bCs/>
    </w:rPr>
  </w:style>
  <w:style w:type="character" w:customStyle="1" w:styleId="CommentSubjectChar">
    <w:name w:val="Comment Subject Char"/>
    <w:basedOn w:val="CommentTextChar"/>
    <w:link w:val="CommentSubject"/>
    <w:uiPriority w:val="99"/>
    <w:semiHidden/>
    <w:rsid w:val="00CD28BE"/>
    <w:rPr>
      <w:b/>
      <w:bCs/>
      <w:sz w:val="20"/>
      <w:szCs w:val="20"/>
    </w:rPr>
  </w:style>
  <w:style w:type="paragraph" w:styleId="BalloonText">
    <w:name w:val="Balloon Text"/>
    <w:basedOn w:val="Normal"/>
    <w:link w:val="BalloonTextChar"/>
    <w:uiPriority w:val="99"/>
    <w:semiHidden/>
    <w:unhideWhenUsed/>
    <w:rsid w:val="00CD2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BE"/>
    <w:rPr>
      <w:rFonts w:ascii="Segoe UI" w:hAnsi="Segoe UI" w:cs="Segoe UI"/>
      <w:sz w:val="18"/>
      <w:szCs w:val="18"/>
    </w:rPr>
  </w:style>
  <w:style w:type="table" w:styleId="TableGrid">
    <w:name w:val="Table Grid"/>
    <w:basedOn w:val="TableNormal"/>
    <w:uiPriority w:val="39"/>
    <w:rsid w:val="007713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2030-africa.org/index.php/en/regional-coordination-group" TargetMode="External"/><Relationship Id="rId4" Type="http://schemas.openxmlformats.org/officeDocument/2006/relationships/settings" Target="settings.xml"/><Relationship Id="rId9" Type="http://schemas.openxmlformats.org/officeDocument/2006/relationships/hyperlink" Target="http://www.education2030-africa.org/index.php/en/regional-coordination-grou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DBBF-66FD-4EBF-983E-A3D894F1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2539</Words>
  <Characters>14474</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Pieume, Calice Olivier</dc:creator>
  <cp:keywords/>
  <dc:description/>
  <cp:lastModifiedBy>Lavallee, Chelsea</cp:lastModifiedBy>
  <cp:revision>3</cp:revision>
  <cp:lastPrinted>2019-02-07T12:37:00Z</cp:lastPrinted>
  <dcterms:created xsi:type="dcterms:W3CDTF">2019-02-27T09:32:00Z</dcterms:created>
  <dcterms:modified xsi:type="dcterms:W3CDTF">2019-02-27T10:08:00Z</dcterms:modified>
</cp:coreProperties>
</file>